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A2" w:rsidRDefault="008710A8">
      <w:pPr>
        <w:pStyle w:val="Standard"/>
      </w:pPr>
      <w:bookmarkStart w:id="0" w:name="_GoBack"/>
      <w:bookmarkEnd w:id="0"/>
      <w:r>
        <w:rPr>
          <w:noProof/>
        </w:rPr>
        <w:drawing>
          <wp:inline distT="0" distB="0" distL="0" distR="0">
            <wp:extent cx="1542415" cy="6826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542415" cy="682625"/>
                    </a:xfrm>
                    <a:prstGeom prst="rect">
                      <a:avLst/>
                    </a:prstGeom>
                    <a:noFill/>
                    <a:ln w="9525">
                      <a:noFill/>
                      <a:miter lim="800000"/>
                      <a:headEnd/>
                      <a:tailEnd/>
                    </a:ln>
                  </pic:spPr>
                </pic:pic>
              </a:graphicData>
            </a:graphic>
          </wp:inline>
        </w:drawing>
      </w:r>
    </w:p>
    <w:p w:rsidR="00A953A2" w:rsidRDefault="00A953A2">
      <w:pPr>
        <w:pStyle w:val="Standard"/>
      </w:pPr>
    </w:p>
    <w:p w:rsidR="00A953A2" w:rsidRDefault="00A953A2">
      <w:pPr>
        <w:pStyle w:val="StyleFICHEBlancEncadrementTraitspleinsdoublesAutomati"/>
        <w:shd w:val="clear" w:color="auto" w:fill="333333"/>
      </w:pPr>
    </w:p>
    <w:p w:rsidR="00A953A2" w:rsidRDefault="008710A8">
      <w:pPr>
        <w:pStyle w:val="StyleFICHEBlancEncadrementTraitspleinsdoublesAutomati"/>
        <w:shd w:val="clear" w:color="auto" w:fill="333333"/>
      </w:pPr>
      <w:r>
        <w:t>rÉsumÉ descriptif de la certification (fiche rÉpertoire)</w:t>
      </w:r>
    </w:p>
    <w:p w:rsidR="00A953A2" w:rsidRDefault="00A953A2">
      <w:pPr>
        <w:pStyle w:val="StyleFICHEBlancEncadrementTraitspleinsdoublesAutomati"/>
        <w:shd w:val="clear" w:color="auto" w:fill="333333"/>
      </w:pPr>
    </w:p>
    <w:p w:rsidR="00A953A2" w:rsidRDefault="00A953A2">
      <w:pPr>
        <w:pStyle w:val="Standard"/>
      </w:pPr>
    </w:p>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91"/>
        <w:gridCol w:w="7796"/>
      </w:tblGrid>
      <w:tr w:rsidR="00A953A2">
        <w:tblPrEx>
          <w:tblCellMar>
            <w:top w:w="0" w:type="dxa"/>
            <w:bottom w:w="0" w:type="dxa"/>
          </w:tblCellMar>
        </w:tblPrEx>
        <w:tc>
          <w:tcPr>
            <w:tcW w:w="2091"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Intitulé (cadre 1)</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bCs/>
              </w:rPr>
              <w:t xml:space="preserve">Master ; Domaine : droit, économie, gestion ; Mention : Economie de l'Environnement et de l'Energie ; Spécialité : Economie du développement durable, de l'environnement </w:t>
            </w:r>
            <w:r>
              <w:rPr>
                <w:bCs/>
              </w:rPr>
              <w:t>et de l'énergie</w:t>
            </w:r>
          </w:p>
          <w:p w:rsidR="00A953A2" w:rsidRDefault="00A953A2">
            <w:pPr>
              <w:pStyle w:val="Standard"/>
            </w:pP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209"/>
        <w:gridCol w:w="4678"/>
      </w:tblGrid>
      <w:tr w:rsidR="00A953A2">
        <w:tblPrEx>
          <w:tblCellMar>
            <w:top w:w="0" w:type="dxa"/>
            <w:bottom w:w="0" w:type="dxa"/>
          </w:tblCellMar>
        </w:tblPrEx>
        <w:trPr>
          <w:trHeight w:val="245"/>
        </w:trPr>
        <w:tc>
          <w:tcPr>
            <w:tcW w:w="5209"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(cadre 2) Autorité responsable de la certification</w:t>
            </w:r>
          </w:p>
        </w:tc>
        <w:tc>
          <w:tcPr>
            <w:tcW w:w="4678"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Qualité du(es) signataire(s) de la certification (cadre 3)</w:t>
            </w:r>
          </w:p>
        </w:tc>
      </w:tr>
      <w:tr w:rsidR="00A953A2">
        <w:tblPrEx>
          <w:tblCellMar>
            <w:top w:w="0" w:type="dxa"/>
            <w:bottom w:w="0" w:type="dxa"/>
          </w:tblCellMar>
        </w:tblPrEx>
        <w:trPr>
          <w:trHeight w:val="245"/>
        </w:trPr>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bCs/>
              </w:rPr>
              <w:t>Université Paris Ouest – Nanterre La Défense</w:t>
            </w:r>
          </w:p>
          <w:p w:rsidR="00A953A2" w:rsidRDefault="00A953A2">
            <w:pPr>
              <w:pStyle w:val="Standard"/>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bCs/>
              </w:rPr>
              <w:t>Président de l’Université</w:t>
            </w: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44"/>
        <w:gridCol w:w="4943"/>
      </w:tblGrid>
      <w:tr w:rsidR="00A953A2">
        <w:tblPrEx>
          <w:tblCellMar>
            <w:top w:w="0" w:type="dxa"/>
            <w:bottom w:w="0" w:type="dxa"/>
          </w:tblCellMar>
        </w:tblPrEx>
        <w:trPr>
          <w:cantSplit/>
        </w:trPr>
        <w:tc>
          <w:tcPr>
            <w:tcW w:w="4944"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Niveau et/ou domaine d’activité  (cadre 4)</w:t>
            </w:r>
          </w:p>
        </w:tc>
        <w:tc>
          <w:tcPr>
            <w:tcW w:w="4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cantSplit/>
        </w:trPr>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t>Niveau : I</w:t>
            </w:r>
          </w:p>
        </w:tc>
      </w:tr>
      <w:tr w:rsidR="00A953A2">
        <w:tblPrEx>
          <w:tblCellMar>
            <w:top w:w="0" w:type="dxa"/>
            <w:bottom w:w="0" w:type="dxa"/>
          </w:tblCellMar>
        </w:tblPrEx>
        <w:trPr>
          <w:cantSplit/>
        </w:trPr>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t>Code NSF : 122</w:t>
            </w: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187"/>
        <w:gridCol w:w="1700"/>
      </w:tblGrid>
      <w:tr w:rsidR="00A953A2">
        <w:tblPrEx>
          <w:tblCellMar>
            <w:top w:w="0" w:type="dxa"/>
            <w:bottom w:w="0" w:type="dxa"/>
          </w:tblCellMar>
        </w:tblPrEx>
        <w:tc>
          <w:tcPr>
            <w:tcW w:w="8187"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bCs/>
                <w:color w:val="FFFFFF"/>
              </w:rPr>
              <w:t>Résumé du référentiel d’emploi et  éléments de compétences acquis (cadre 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t>Liste des activités visées par le diplôme, le titre ou le certificat</w:t>
            </w:r>
          </w:p>
          <w:p w:rsidR="00A953A2" w:rsidRDefault="008710A8">
            <w:pPr>
              <w:pStyle w:val="Corpsdetexte"/>
              <w:tabs>
                <w:tab w:val="left" w:pos="1134"/>
                <w:tab w:val="left" w:pos="2127"/>
              </w:tabs>
              <w:spacing w:before="100" w:after="0"/>
            </w:pPr>
            <w:r>
              <w:rPr>
                <w:rFonts w:ascii="Times New Roman" w:hAnsi="Times New Roman" w:cs="Times New Roman"/>
                <w:b w:val="0"/>
                <w:bCs w:val="0"/>
                <w:lang w:val="fr-FR"/>
              </w:rPr>
              <w:t xml:space="preserve">La première année de Master est organisée sur deux semestres, chacun </w:t>
            </w:r>
            <w:r>
              <w:rPr>
                <w:rFonts w:ascii="Times New Roman" w:hAnsi="Times New Roman" w:cs="Times New Roman"/>
                <w:b w:val="0"/>
                <w:bCs w:val="0"/>
                <w:lang w:val="fr-FR"/>
              </w:rPr>
              <w:t>correspondant à 30 ECTS. Le 1er semestre s'articule autour de cours à contenu théorique aussi bien dans le domaine de la macroéconomie, de la microéconomie et des techniques quantitatives. Il s’agit de donner aux étudiants des bases théoriques solides dans</w:t>
            </w:r>
            <w:r>
              <w:rPr>
                <w:rFonts w:ascii="Times New Roman" w:hAnsi="Times New Roman" w:cs="Times New Roman"/>
                <w:b w:val="0"/>
                <w:bCs w:val="0"/>
                <w:lang w:val="fr-FR"/>
              </w:rPr>
              <w:t xml:space="preserve"> ces deux domaines qui leur permettront de suivre des </w:t>
            </w:r>
            <w:r>
              <w:rPr>
                <w:rFonts w:ascii="Times New Roman" w:hAnsi="Times New Roman" w:cs="Times New Roman"/>
                <w:b w:val="0"/>
                <w:bCs w:val="0"/>
                <w:lang w:val="fr-FR"/>
              </w:rPr>
              <w:lastRenderedPageBreak/>
              <w:t>cours plus appliqués lors du second semestre. La pré-spécialisation commence au premier semestre avec le cours  Economie de l'Energie,  et se poursuit essentiellement au second semestre par l’unité disc</w:t>
            </w:r>
            <w:r>
              <w:rPr>
                <w:rFonts w:ascii="Times New Roman" w:hAnsi="Times New Roman" w:cs="Times New Roman"/>
                <w:b w:val="0"/>
                <w:bCs w:val="0"/>
                <w:lang w:val="fr-FR"/>
              </w:rPr>
              <w:t>iplinaire spécifique du master (Economie de l'Environnement, Economie des Ressources naturelles, Economie du Développement).</w:t>
            </w:r>
          </w:p>
          <w:p w:rsidR="00A953A2" w:rsidRDefault="00A953A2">
            <w:pPr>
              <w:pStyle w:val="Blockquote"/>
              <w:spacing w:before="0" w:after="0"/>
              <w:ind w:left="0" w:right="0"/>
              <w:jc w:val="both"/>
            </w:pPr>
          </w:p>
          <w:p w:rsidR="00A953A2" w:rsidRDefault="008710A8">
            <w:pPr>
              <w:pStyle w:val="Corpsdetexte"/>
              <w:tabs>
                <w:tab w:val="left" w:pos="1134"/>
                <w:tab w:val="left" w:pos="2127"/>
              </w:tabs>
              <w:spacing w:before="100" w:after="0"/>
            </w:pPr>
            <w:r>
              <w:rPr>
                <w:rFonts w:ascii="Times New Roman" w:hAnsi="Times New Roman" w:cs="Times New Roman"/>
                <w:b w:val="0"/>
                <w:bCs w:val="0"/>
                <w:lang w:val="fr-FR"/>
              </w:rPr>
              <w:t xml:space="preserve">La spécialité en M2 "Economie du Développement Durable, de l'Energie et de l'Environnement", s'articule entre deux parcours assez </w:t>
            </w:r>
            <w:r>
              <w:rPr>
                <w:rFonts w:ascii="Times New Roman" w:hAnsi="Times New Roman" w:cs="Times New Roman"/>
                <w:b w:val="0"/>
                <w:bCs w:val="0"/>
                <w:lang w:val="fr-FR"/>
              </w:rPr>
              <w:t>distincts,  le parcours "environnement" et le parcours "énergie". Le parcours "environnement" est à finalité recherche. Le parcours "énergie" comprend une finalité recherche et une finalité professionnelle. Il existe des passerelles entre les deux parcours</w:t>
            </w:r>
            <w:r>
              <w:rPr>
                <w:rFonts w:ascii="Times New Roman" w:hAnsi="Times New Roman" w:cs="Times New Roman"/>
                <w:b w:val="0"/>
                <w:bCs w:val="0"/>
                <w:lang w:val="fr-FR"/>
              </w:rPr>
              <w:t xml:space="preserve"> sous la forme d'une mutualisation de certains enseignements au niveau de cours fondamentaux et de la possibilité pour les étudiants de suivre des cours de spécialisation et des cours de formation par la recherche de l'autre parcours, ainsi qu’une UE Ouver</w:t>
            </w:r>
            <w:r>
              <w:rPr>
                <w:rFonts w:ascii="Times New Roman" w:hAnsi="Times New Roman" w:cs="Times New Roman"/>
                <w:b w:val="0"/>
                <w:bCs w:val="0"/>
                <w:lang w:val="fr-FR"/>
              </w:rPr>
              <w:t>ture commune aux deux parcours.</w:t>
            </w:r>
          </w:p>
          <w:p w:rsidR="00A953A2" w:rsidRDefault="008710A8">
            <w:pPr>
              <w:pStyle w:val="Corpsdetexte"/>
              <w:tabs>
                <w:tab w:val="left" w:pos="1134"/>
                <w:tab w:val="left" w:pos="2127"/>
              </w:tabs>
              <w:spacing w:before="100" w:after="0"/>
            </w:pPr>
            <w:r>
              <w:rPr>
                <w:rFonts w:ascii="Times New Roman" w:hAnsi="Times New Roman" w:cs="Times New Roman"/>
                <w:b w:val="0"/>
                <w:bCs w:val="0"/>
                <w:lang w:val="fr-FR"/>
              </w:rPr>
              <w:t>Le parcours "environnement" à finalité recherche est constitué par une UE "Cours Fondamentaux" (15 ECTS, semestre 1), deux UE "Cours de Spécialisation" (chacune 4,5 ECTS, semestre 1), une UE "Cours d'Ouverture" (3 ECTS, seme</w:t>
            </w:r>
            <w:r>
              <w:rPr>
                <w:rFonts w:ascii="Times New Roman" w:hAnsi="Times New Roman" w:cs="Times New Roman"/>
                <w:b w:val="0"/>
                <w:bCs w:val="0"/>
                <w:lang w:val="fr-FR"/>
              </w:rPr>
              <w:t>stre 1), une UE "Langues Vivantes" (3 ECTS, semestre 1), une UE "Cours de formation par la Recherche" (6 ECTS, semestre 2) et une UE "Stage et Mémoire" (24 ECTS, semestre 2). La validation de ces UE se fait de manière indépendante. L'ensemble des UE doit ê</w:t>
            </w:r>
            <w:r>
              <w:rPr>
                <w:rFonts w:ascii="Times New Roman" w:hAnsi="Times New Roman" w:cs="Times New Roman"/>
                <w:b w:val="0"/>
                <w:bCs w:val="0"/>
                <w:lang w:val="fr-FR"/>
              </w:rPr>
              <w:t>tre validé pour être autorisé à soutenir le mémoire de master qui valide le stage d'une durée minimale de 4 mois (en pratique 6 mois dans la quasi-totalité des cas).</w:t>
            </w:r>
          </w:p>
          <w:p w:rsidR="00A953A2" w:rsidRDefault="008710A8">
            <w:pPr>
              <w:pStyle w:val="Corpsdetexte"/>
              <w:tabs>
                <w:tab w:val="left" w:pos="1134"/>
                <w:tab w:val="left" w:pos="2127"/>
              </w:tabs>
              <w:spacing w:before="100" w:after="0"/>
            </w:pPr>
            <w:r>
              <w:rPr>
                <w:rFonts w:ascii="Times New Roman" w:hAnsi="Times New Roman" w:cs="Times New Roman"/>
                <w:b w:val="0"/>
                <w:bCs w:val="0"/>
                <w:lang w:val="fr-FR"/>
              </w:rPr>
              <w:t>Le parcours "énergie" à finalité recherche est construit en reprenant  la même architectur</w:t>
            </w:r>
            <w:r>
              <w:rPr>
                <w:rFonts w:ascii="Times New Roman" w:hAnsi="Times New Roman" w:cs="Times New Roman"/>
                <w:b w:val="0"/>
                <w:bCs w:val="0"/>
                <w:lang w:val="fr-FR"/>
              </w:rPr>
              <w:t>e que le parcours recherche "environnement". Il est constitué par une UE "Cours Fondamentaux" (15 ECTS, semestre 1), deux UE "Cours de Spécialisation" (chacune 4,5 ECTS, semestre 1), une UE "Cours d'Ouverture" (3 ECTS, semestre 1), une UE "Langues Vivantes</w:t>
            </w:r>
            <w:r>
              <w:rPr>
                <w:rFonts w:ascii="Times New Roman" w:hAnsi="Times New Roman" w:cs="Times New Roman"/>
                <w:b w:val="0"/>
                <w:bCs w:val="0"/>
                <w:lang w:val="fr-FR"/>
              </w:rPr>
              <w:t>" (3 ECTS, semestre 1), une UE "Cours de formation par la Recherche" (6 ECTS, semestre 2) et une UE "Stage et Mémoire" (24 ECTS, semestre 2). La validation de ces UE se fait de manière indépendante. L'ensemble des UE doit être validé pour être autorisé à s</w:t>
            </w:r>
            <w:r>
              <w:rPr>
                <w:rFonts w:ascii="Times New Roman" w:hAnsi="Times New Roman" w:cs="Times New Roman"/>
                <w:b w:val="0"/>
                <w:bCs w:val="0"/>
                <w:lang w:val="fr-FR"/>
              </w:rPr>
              <w:t>outenir le mémoire de master qui valide le stage d'une durée minimale de 4 mois (en pratique 6 mois dans la quasi-totalité des cas).</w:t>
            </w:r>
          </w:p>
          <w:p w:rsidR="00A953A2" w:rsidRDefault="008710A8">
            <w:pPr>
              <w:pStyle w:val="Corpsdetexte"/>
              <w:tabs>
                <w:tab w:val="left" w:pos="1134"/>
                <w:tab w:val="left" w:pos="2127"/>
              </w:tabs>
              <w:spacing w:before="100" w:after="0"/>
            </w:pPr>
            <w:r>
              <w:rPr>
                <w:rFonts w:ascii="Times New Roman" w:hAnsi="Times New Roman" w:cs="Times New Roman"/>
                <w:b w:val="0"/>
                <w:bCs w:val="0"/>
                <w:lang w:val="fr-FR"/>
              </w:rPr>
              <w:t xml:space="preserve">Le parcours "énergie" </w:t>
            </w:r>
            <w:proofErr w:type="gramStart"/>
            <w:r>
              <w:rPr>
                <w:rFonts w:ascii="Times New Roman" w:hAnsi="Times New Roman" w:cs="Times New Roman"/>
                <w:b w:val="0"/>
                <w:bCs w:val="0"/>
                <w:lang w:val="fr-FR"/>
              </w:rPr>
              <w:t>a</w:t>
            </w:r>
            <w:proofErr w:type="gramEnd"/>
            <w:r>
              <w:rPr>
                <w:rFonts w:ascii="Times New Roman" w:hAnsi="Times New Roman" w:cs="Times New Roman"/>
                <w:b w:val="0"/>
                <w:bCs w:val="0"/>
                <w:lang w:val="fr-FR"/>
              </w:rPr>
              <w:t xml:space="preserve"> finalité professionnelle peut être suivi sous statut étudiant ou sous statut apprenti depuis la ren</w:t>
            </w:r>
            <w:r>
              <w:rPr>
                <w:rFonts w:ascii="Times New Roman" w:hAnsi="Times New Roman" w:cs="Times New Roman"/>
                <w:b w:val="0"/>
                <w:bCs w:val="0"/>
                <w:lang w:val="fr-FR"/>
              </w:rPr>
              <w:t>trée 2010/2011.</w:t>
            </w:r>
          </w:p>
        </w:tc>
      </w:tr>
      <w:tr w:rsidR="00A953A2">
        <w:tblPrEx>
          <w:tblCellMar>
            <w:top w:w="0" w:type="dxa"/>
            <w:bottom w:w="0" w:type="dxa"/>
          </w:tblCellMar>
        </w:tblPrEx>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lastRenderedPageBreak/>
              <w:t xml:space="preserve">Compétences ou capacités évaluées </w:t>
            </w:r>
          </w:p>
          <w:p w:rsidR="00A953A2" w:rsidRDefault="008710A8">
            <w:pPr>
              <w:pStyle w:val="Standard"/>
              <w:jc w:val="both"/>
            </w:pPr>
            <w:r>
              <w:t xml:space="preserve">Maîtrise de l'économie de l'environnement, de l'énergie, du développement durable ; </w:t>
            </w:r>
            <w:r>
              <w:rPr>
                <w:lang w:eastAsia="ar-SA"/>
              </w:rPr>
              <w:t>Maîtrise de la boîte à outils de l'économiste</w:t>
            </w:r>
            <w:r>
              <w:t xml:space="preserve">; Compréhension des mécanismes et institutions locales, nationales et locales de la régulation environnementale ; Maîtrise de l'économétrie appliquée ; </w:t>
            </w:r>
            <w:r>
              <w:rPr>
                <w:lang w:eastAsia="ar-SA"/>
              </w:rPr>
              <w:t>Maîtrise de l'anglais économique et financier ; Compétences pratiques : utilisation des données économiq</w:t>
            </w:r>
            <w:r>
              <w:rPr>
                <w:lang w:eastAsia="ar-SA"/>
              </w:rPr>
              <w:t>ues, évaluation des projets et des techniques d'aide à la décision; Compétences organisationnelles</w:t>
            </w:r>
            <w:r>
              <w:rPr>
                <w:b/>
                <w:bCs/>
              </w:rPr>
              <w:t> </w:t>
            </w:r>
            <w:r>
              <w:rPr>
                <w:bCs/>
              </w:rPr>
              <w:t>: savoir planifier son travail, le coordonner avec celui des autres et avec les contraintes extérieures, capacité à planifier les différentes tâches d’un gro</w:t>
            </w:r>
            <w:r>
              <w:rPr>
                <w:bCs/>
              </w:rPr>
              <w:t>upe et à les coordonner</w:t>
            </w:r>
            <w:r>
              <w:rPr>
                <w:lang w:eastAsia="ar-SA"/>
              </w:rPr>
              <w:t>.</w:t>
            </w:r>
          </w:p>
          <w:p w:rsidR="00A953A2" w:rsidRDefault="00A953A2">
            <w:pPr>
              <w:pStyle w:val="Standard"/>
            </w:pPr>
          </w:p>
        </w:tc>
      </w:tr>
    </w:tbl>
    <w:p w:rsidR="00A953A2" w:rsidRDefault="00A953A2">
      <w:pPr>
        <w:pStyle w:val="Standard"/>
      </w:pPr>
    </w:p>
    <w:tbl>
      <w:tblPr>
        <w:tblW w:w="0" w:type="auto"/>
        <w:tblInd w:w="-216" w:type="dxa"/>
        <w:tblBorders>
          <w:top w:val="single" w:sz="4" w:space="0" w:color="00000A"/>
          <w:left w:val="single" w:sz="4" w:space="0" w:color="00000A"/>
          <w:right w:val="single" w:sz="4" w:space="0" w:color="00000A"/>
        </w:tblBorders>
        <w:tblCellMar>
          <w:left w:w="10" w:type="dxa"/>
          <w:right w:w="10" w:type="dxa"/>
        </w:tblCellMar>
        <w:tblLook w:val="0000" w:firstRow="0" w:lastRow="0" w:firstColumn="0" w:lastColumn="0" w:noHBand="0" w:noVBand="0"/>
      </w:tblPr>
      <w:tblGrid>
        <w:gridCol w:w="8187"/>
        <w:gridCol w:w="1700"/>
      </w:tblGrid>
      <w:tr w:rsidR="00A953A2">
        <w:tblPrEx>
          <w:tblCellMar>
            <w:top w:w="0" w:type="dxa"/>
            <w:bottom w:w="0" w:type="dxa"/>
          </w:tblCellMar>
        </w:tblPrEx>
        <w:trPr>
          <w:cantSplit/>
        </w:trPr>
        <w:tc>
          <w:tcPr>
            <w:tcW w:w="8187" w:type="dxa"/>
            <w:tcBorders>
              <w:top w:val="single" w:sz="4" w:space="0" w:color="00000A"/>
              <w:left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bCs/>
                <w:color w:val="FFFFFF"/>
              </w:rPr>
              <w:lastRenderedPageBreak/>
              <w:t>Secteurs d’activité ou types d’emplois accessibles par le détenteur de ce diplôme, ce titre ou ce certificat (cadre 6)</w:t>
            </w:r>
          </w:p>
        </w:tc>
        <w:tc>
          <w:tcPr>
            <w:tcW w:w="170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c>
          <w:tcPr>
            <w:tcW w:w="4943"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tabs>
                <w:tab w:val="right" w:pos="9639"/>
              </w:tabs>
              <w:jc w:val="both"/>
            </w:pPr>
            <w:r>
              <w:t>Le titulaire de ce diplôme, option professionnelle, peut occuper des emplois de chargé d’études économiques</w:t>
            </w:r>
            <w:r>
              <w:t xml:space="preserve"> et statistiques ou de chargé de mission dans les entreprises qui mettent en place des stratégies de développement durable, les sociétés d’études et de services, les cabinets de conseils en développement durable, les institutions du développement territori</w:t>
            </w:r>
            <w:r>
              <w:t>al et régional, les agences nationales (Ademe, IFEN, Agences de l'eau,...) et internationales (Banque mondiale, commission européenne, PNUD, Agence européenne pour l'environnement, OCDE,...)</w:t>
            </w:r>
          </w:p>
        </w:tc>
      </w:tr>
      <w:tr w:rsidR="00A953A2">
        <w:tblPrEx>
          <w:tblCellMar>
            <w:top w:w="0" w:type="dxa"/>
            <w:bottom w:w="0" w:type="dxa"/>
          </w:tblCellMar>
        </w:tblPrEx>
        <w:tc>
          <w:tcPr>
            <w:tcW w:w="4943" w:type="dxa"/>
            <w:gridSpan w:val="2"/>
            <w:tcBorders>
              <w:left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tabs>
                <w:tab w:val="right" w:pos="9639"/>
              </w:tabs>
              <w:jc w:val="both"/>
            </w:pPr>
            <w:r>
              <w:t>Codes des fiches ROME les plus proches : M1403 – Etudes et prosp</w:t>
            </w:r>
            <w:r>
              <w:t>ectives socio-économiques</w:t>
            </w:r>
          </w:p>
        </w:tc>
      </w:tr>
      <w:tr w:rsidR="00A953A2">
        <w:tblPrEx>
          <w:tblCellMar>
            <w:top w:w="0" w:type="dxa"/>
            <w:bottom w:w="0" w:type="dxa"/>
          </w:tblCellMar>
        </w:tblPrEx>
        <w:trPr>
          <w:trHeight w:val="533"/>
        </w:trPr>
        <w:tc>
          <w:tcPr>
            <w:tcW w:w="4943" w:type="dxa"/>
            <w:gridSpan w:val="2"/>
            <w:tcBorders>
              <w:left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tabs>
                <w:tab w:val="right" w:pos="9639"/>
              </w:tabs>
              <w:jc w:val="both"/>
            </w:pPr>
            <w:r>
              <w:t>Le titulaire de ce diplôme, option recherche, peut poursuivre des études doctorales en économie et occuper, après le doctorat, des emplois d’enseignants et de chercheurs à l’université, dans des grandes écoles ou dans des organismes de recherche publics ou</w:t>
            </w:r>
            <w:r>
              <w:t xml:space="preserve"> privés. Au cours du doctorat, il peut occuper des emplois de chargé de travaux dirigés puis d’attaché temporaire d’enseignement et de recherche à l’université. </w:t>
            </w:r>
          </w:p>
        </w:tc>
      </w:tr>
      <w:tr w:rsidR="00A953A2">
        <w:tblPrEx>
          <w:tblCellMar>
            <w:top w:w="0" w:type="dxa"/>
            <w:bottom w:w="0" w:type="dxa"/>
          </w:tblCellMar>
        </w:tblPrEx>
        <w:trPr>
          <w:trHeight w:val="532"/>
        </w:trPr>
        <w:tc>
          <w:tcPr>
            <w:tcW w:w="4943"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tabs>
                <w:tab w:val="left" w:pos="3969"/>
                <w:tab w:val="right" w:pos="9639"/>
              </w:tabs>
              <w:jc w:val="both"/>
            </w:pPr>
            <w:r>
              <w:t>Codes des fiches ROME les plus proches : K2401 – Recherche en sciences de l’homme et de la so</w:t>
            </w:r>
            <w:r>
              <w:t>ciété ;</w:t>
            </w:r>
          </w:p>
        </w:tc>
      </w:tr>
    </w:tbl>
    <w:p w:rsidR="00A953A2" w:rsidRDefault="00A953A2">
      <w:pPr>
        <w:pStyle w:val="Standard"/>
      </w:pPr>
    </w:p>
    <w:tbl>
      <w:tblPr>
        <w:tblW w:w="0" w:type="auto"/>
        <w:tblInd w:w="-17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50"/>
        <w:gridCol w:w="1329"/>
        <w:gridCol w:w="1329"/>
        <w:gridCol w:w="1603"/>
      </w:tblGrid>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widowControl w:val="0"/>
            </w:pPr>
            <w:r>
              <w:rPr>
                <w:b/>
                <w:color w:val="FFFFFF"/>
              </w:rPr>
              <w:t>Modalités d’accès à cette certification (cadre 7)</w:t>
            </w:r>
          </w:p>
        </w:tc>
        <w:tc>
          <w:tcPr>
            <w:tcW w:w="132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r>
      <w:tr w:rsidR="00A953A2">
        <w:tblPrEx>
          <w:tblCellMar>
            <w:top w:w="0" w:type="dxa"/>
            <w:bottom w:w="0" w:type="dxa"/>
          </w:tblCellMar>
        </w:tblPrEx>
        <w:trPr>
          <w:cantSplit/>
        </w:trPr>
        <w:tc>
          <w:tcPr>
            <w:tcW w:w="132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p w:rsidR="00A953A2" w:rsidRDefault="008710A8">
            <w:pPr>
              <w:pStyle w:val="Standard"/>
              <w:widowControl w:val="0"/>
            </w:pPr>
            <w:r>
              <w:rPr>
                <w:bCs/>
                <w:u w:val="single"/>
              </w:rPr>
              <w:t>Descriptif des composantes de la certification</w:t>
            </w:r>
            <w:r>
              <w:rPr>
                <w:bCs/>
              </w:rPr>
              <w:t> :</w:t>
            </w:r>
          </w:p>
          <w:p w:rsidR="00A953A2" w:rsidRDefault="008710A8">
            <w:pPr>
              <w:pStyle w:val="Standard"/>
              <w:widowControl w:val="0"/>
            </w:pPr>
            <w:r>
              <w:rPr>
                <w:b/>
                <w:bCs/>
                <w:u w:val="single"/>
              </w:rPr>
              <w:t>Première année de Master</w:t>
            </w:r>
          </w:p>
          <w:tbl>
            <w:tblPr>
              <w:tblW w:w="0" w:type="auto"/>
              <w:tblBorders>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3363"/>
              <w:gridCol w:w="1138"/>
              <w:gridCol w:w="1101"/>
              <w:gridCol w:w="585"/>
            </w:tblGrid>
            <w:tr w:rsidR="00A953A2">
              <w:tblPrEx>
                <w:tblCellMar>
                  <w:top w:w="0" w:type="dxa"/>
                  <w:bottom w:w="0" w:type="dxa"/>
                </w:tblCellMar>
              </w:tblPrEx>
              <w:trPr>
                <w:trHeight w:val="266"/>
              </w:trPr>
              <w:tc>
                <w:tcPr>
                  <w:tcW w:w="3644" w:type="dxa"/>
                  <w:tcBorders>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pPr>
                </w:p>
              </w:tc>
              <w:tc>
                <w:tcPr>
                  <w:tcW w:w="1193" w:type="dxa"/>
                  <w:tcBorders>
                    <w:left w:val="single" w:sz="6" w:space="0" w:color="00000A"/>
                    <w:bottom w:val="single" w:sz="6" w:space="0" w:color="00000A"/>
                    <w:right w:val="single" w:sz="6" w:space="0" w:color="00000A"/>
                  </w:tcBorders>
                  <w:shd w:val="clear" w:color="auto" w:fill="969696"/>
                  <w:tcMar>
                    <w:top w:w="0" w:type="dxa"/>
                    <w:left w:w="108" w:type="dxa"/>
                    <w:bottom w:w="0" w:type="dxa"/>
                    <w:right w:w="108" w:type="dxa"/>
                  </w:tcMar>
                </w:tcPr>
                <w:p w:rsidR="00A953A2" w:rsidRDefault="008710A8">
                  <w:pPr>
                    <w:pStyle w:val="Standard"/>
                    <w:jc w:val="center"/>
                  </w:pPr>
                  <w:r>
                    <w:rPr>
                      <w:rFonts w:cs="Arial"/>
                      <w:b/>
                      <w:bCs/>
                      <w:color w:val="FFFFFF"/>
                    </w:rPr>
                    <w:t>ECTS</w:t>
                  </w:r>
                </w:p>
              </w:tc>
              <w:tc>
                <w:tcPr>
                  <w:tcW w:w="1192" w:type="dxa"/>
                  <w:tcBorders>
                    <w:left w:val="single" w:sz="6" w:space="0" w:color="00000A"/>
                    <w:bottom w:val="single" w:sz="6" w:space="0" w:color="00000A"/>
                    <w:right w:val="single" w:sz="6" w:space="0" w:color="00000A"/>
                  </w:tcBorders>
                  <w:shd w:val="clear" w:color="auto" w:fill="969696"/>
                  <w:tcMar>
                    <w:top w:w="0" w:type="dxa"/>
                    <w:left w:w="108" w:type="dxa"/>
                    <w:bottom w:w="0" w:type="dxa"/>
                    <w:right w:w="108" w:type="dxa"/>
                  </w:tcMar>
                </w:tcPr>
                <w:p w:rsidR="00A953A2" w:rsidRDefault="008710A8">
                  <w:pPr>
                    <w:pStyle w:val="Standard"/>
                    <w:jc w:val="center"/>
                  </w:pPr>
                  <w:r>
                    <w:rPr>
                      <w:rFonts w:cs="Arial"/>
                      <w:b/>
                      <w:bCs/>
                      <w:color w:val="FFFFFF"/>
                    </w:rPr>
                    <w:t>CM</w:t>
                  </w:r>
                </w:p>
              </w:tc>
              <w:tc>
                <w:tcPr>
                  <w:tcW w:w="592" w:type="dxa"/>
                  <w:tcBorders>
                    <w:left w:val="single" w:sz="6" w:space="0" w:color="00000A"/>
                    <w:bottom w:val="single" w:sz="6" w:space="0" w:color="00000A"/>
                    <w:right w:val="single" w:sz="6" w:space="0" w:color="00000A"/>
                  </w:tcBorders>
                  <w:shd w:val="clear" w:color="auto" w:fill="969696"/>
                  <w:tcMar>
                    <w:top w:w="0" w:type="dxa"/>
                    <w:left w:w="108" w:type="dxa"/>
                    <w:bottom w:w="0" w:type="dxa"/>
                    <w:right w:w="108" w:type="dxa"/>
                  </w:tcMar>
                </w:tcPr>
                <w:p w:rsidR="00A953A2" w:rsidRDefault="008710A8">
                  <w:pPr>
                    <w:pStyle w:val="Standard"/>
                    <w:jc w:val="center"/>
                  </w:pPr>
                  <w:r>
                    <w:rPr>
                      <w:rFonts w:cs="Arial"/>
                      <w:b/>
                      <w:bCs/>
                      <w:color w:val="FFFFFF"/>
                    </w:rPr>
                    <w:t>TD</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8710A8">
                  <w:pPr>
                    <w:pStyle w:val="Standard"/>
                  </w:pPr>
                  <w:r>
                    <w:rPr>
                      <w:rFonts w:cs="Arial"/>
                      <w:b/>
                      <w:bCs/>
                      <w:color w:val="000000"/>
                    </w:rPr>
                    <w:t>Semestre 1 (12 semaines)</w:t>
                  </w:r>
                </w:p>
              </w:tc>
              <w:tc>
                <w:tcPr>
                  <w:tcW w:w="1193"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8710A8">
                  <w:pPr>
                    <w:pStyle w:val="Standard"/>
                    <w:jc w:val="center"/>
                  </w:pPr>
                  <w:r>
                    <w:rPr>
                      <w:rFonts w:cs="Arial"/>
                      <w:b/>
                      <w:bCs/>
                      <w:color w:val="000000"/>
                    </w:rPr>
                    <w:t>30,0 ECTS</w:t>
                  </w:r>
                </w:p>
              </w:tc>
              <w:tc>
                <w:tcPr>
                  <w:tcW w:w="1192"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Fondamentaux Microéconomie</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13,5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Décision dans le risque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4,5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Information et incitations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4,5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Economie publique*</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4,5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Fondamentaux Macroéconomie</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4,5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Politique économique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4,5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 xml:space="preserve">Techniques quantitatives </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7,5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Econométrie 1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4,5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36</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Optimisation Dynamique*</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right"/>
                  </w:pP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Langue</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4,5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Anglais*</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1,5</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18</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Specialité</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3,0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Economie de l'Energie</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8710A8">
                  <w:pPr>
                    <w:pStyle w:val="Standard"/>
                  </w:pPr>
                  <w:r>
                    <w:rPr>
                      <w:rFonts w:cs="Arial"/>
                      <w:b/>
                      <w:bCs/>
                      <w:color w:val="000000"/>
                    </w:rPr>
                    <w:t>Semestre 2 (12 semaines)</w:t>
                  </w:r>
                </w:p>
              </w:tc>
              <w:tc>
                <w:tcPr>
                  <w:tcW w:w="1193"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8710A8">
                  <w:pPr>
                    <w:pStyle w:val="Standard"/>
                    <w:jc w:val="center"/>
                  </w:pPr>
                  <w:r>
                    <w:rPr>
                      <w:rFonts w:cs="Arial"/>
                      <w:b/>
                      <w:bCs/>
                      <w:color w:val="000000"/>
                    </w:rPr>
                    <w:t>30,0 ECTS</w:t>
                  </w:r>
                </w:p>
              </w:tc>
              <w:tc>
                <w:tcPr>
                  <w:tcW w:w="1192"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Fondamentaux Microéconomie</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6,0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Théorie des jeux et applications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Economie du Développement</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 xml:space="preserve">Fondamentaux </w:t>
                  </w:r>
                  <w:r>
                    <w:rPr>
                      <w:rFonts w:cs="Arial"/>
                      <w:b/>
                      <w:bCs/>
                      <w:color w:val="000000"/>
                    </w:rPr>
                    <w:t>Macroéconomie</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6,0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Croissance optimale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Cycles et fluctuations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pP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Techniques quantitatives</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6,0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Econométrie 2 : Econométrie des séries temporelles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16</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Méthodes numériques *</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pPr>
                  <w:r>
                    <w:rPr>
                      <w:rFonts w:cs="Arial"/>
                      <w:b/>
                      <w:bCs/>
                      <w:color w:val="000000"/>
                    </w:rPr>
                    <w:t>Spécialité</w:t>
                  </w:r>
                </w:p>
              </w:tc>
              <w:tc>
                <w:tcPr>
                  <w:tcW w:w="1193"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8710A8">
                  <w:pPr>
                    <w:pStyle w:val="Standard"/>
                    <w:jc w:val="center"/>
                  </w:pPr>
                  <w:r>
                    <w:rPr>
                      <w:rFonts w:cs="Arial"/>
                      <w:b/>
                      <w:bCs/>
                      <w:color w:val="000000"/>
                    </w:rPr>
                    <w:t>12,0 ECTS</w:t>
                  </w:r>
                </w:p>
              </w:tc>
              <w:tc>
                <w:tcPr>
                  <w:tcW w:w="11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CC"/>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 xml:space="preserve">Economie </w:t>
                  </w:r>
                  <w:r>
                    <w:rPr>
                      <w:rFonts w:cs="Calibri"/>
                      <w:color w:val="000000"/>
                    </w:rPr>
                    <w:t>des ressources naturelles</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24</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Economie de l'Environnement</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6</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36</w:t>
                  </w: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pPr>
                  <w:r>
                    <w:rPr>
                      <w:rFonts w:cs="Calibri"/>
                      <w:color w:val="000000"/>
                    </w:rPr>
                    <w:t>Projet Economie Appliquée en anglais</w:t>
                  </w:r>
                </w:p>
              </w:tc>
              <w:tc>
                <w:tcPr>
                  <w:tcW w:w="1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8710A8">
                  <w:pPr>
                    <w:pStyle w:val="Standard"/>
                    <w:jc w:val="center"/>
                  </w:pPr>
                  <w:r>
                    <w:rPr>
                      <w:rFonts w:cs="Calibri"/>
                      <w:color w:val="000000"/>
                    </w:rPr>
                    <w:t>3</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A953A2" w:rsidRDefault="00A953A2">
                  <w:pPr>
                    <w:pStyle w:val="Standard"/>
                    <w:jc w:val="center"/>
                  </w:pPr>
                </w:p>
              </w:tc>
            </w:tr>
            <w:tr w:rsidR="00A953A2">
              <w:tblPrEx>
                <w:tblCellMar>
                  <w:top w:w="0" w:type="dxa"/>
                  <w:bottom w:w="0" w:type="dxa"/>
                </w:tblCellMar>
              </w:tblPrEx>
              <w:trPr>
                <w:trHeight w:val="266"/>
              </w:trPr>
              <w:tc>
                <w:tcPr>
                  <w:tcW w:w="3644" w:type="dxa"/>
                  <w:tcBorders>
                    <w:top w:val="single" w:sz="6" w:space="0" w:color="00000A"/>
                    <w:bottom w:val="single" w:sz="6" w:space="0" w:color="00000A"/>
                    <w:right w:val="single" w:sz="6" w:space="0" w:color="00000A"/>
                  </w:tcBorders>
                  <w:shd w:val="clear" w:color="auto" w:fill="FFFF00"/>
                  <w:tcMar>
                    <w:top w:w="0" w:type="dxa"/>
                    <w:left w:w="108" w:type="dxa"/>
                    <w:bottom w:w="0" w:type="dxa"/>
                    <w:right w:w="108" w:type="dxa"/>
                  </w:tcMar>
                </w:tcPr>
                <w:p w:rsidR="00A953A2" w:rsidRDefault="008710A8">
                  <w:pPr>
                    <w:pStyle w:val="Standard"/>
                  </w:pPr>
                  <w:r>
                    <w:rPr>
                      <w:rFonts w:cs="Calibri"/>
                      <w:color w:val="000000"/>
                    </w:rPr>
                    <w:t>Stage facultatif</w:t>
                  </w:r>
                </w:p>
              </w:tc>
              <w:tc>
                <w:tcPr>
                  <w:tcW w:w="1193" w:type="dxa"/>
                  <w:tcBorders>
                    <w:top w:val="single" w:sz="6" w:space="0" w:color="00000A"/>
                    <w:left w:val="single" w:sz="6" w:space="0" w:color="00000A"/>
                    <w:bottom w:val="single" w:sz="6" w:space="0" w:color="00000A"/>
                    <w:right w:val="single" w:sz="6" w:space="0" w:color="00000A"/>
                  </w:tcBorders>
                  <w:shd w:val="clear" w:color="auto" w:fill="FFFF00"/>
                  <w:tcMar>
                    <w:top w:w="0" w:type="dxa"/>
                    <w:left w:w="108" w:type="dxa"/>
                    <w:bottom w:w="0" w:type="dxa"/>
                    <w:right w:w="108" w:type="dxa"/>
                  </w:tcMar>
                </w:tcPr>
                <w:p w:rsidR="00A953A2" w:rsidRDefault="00A953A2">
                  <w:pPr>
                    <w:pStyle w:val="Standard"/>
                    <w:jc w:val="center"/>
                  </w:pPr>
                </w:p>
              </w:tc>
              <w:tc>
                <w:tcPr>
                  <w:tcW w:w="1192" w:type="dxa"/>
                  <w:tcBorders>
                    <w:top w:val="single" w:sz="6" w:space="0" w:color="00000A"/>
                    <w:left w:val="single" w:sz="6" w:space="0" w:color="00000A"/>
                    <w:bottom w:val="single" w:sz="6" w:space="0" w:color="00000A"/>
                    <w:right w:val="single" w:sz="6" w:space="0" w:color="00000A"/>
                  </w:tcBorders>
                  <w:shd w:val="clear" w:color="auto" w:fill="FFFF00"/>
                  <w:tcMar>
                    <w:top w:w="0" w:type="dxa"/>
                    <w:left w:w="108" w:type="dxa"/>
                    <w:bottom w:w="0" w:type="dxa"/>
                    <w:right w:w="108" w:type="dxa"/>
                  </w:tcMar>
                </w:tcPr>
                <w:p w:rsidR="00A953A2" w:rsidRDefault="00A953A2">
                  <w:pPr>
                    <w:pStyle w:val="Standard"/>
                    <w:jc w:val="center"/>
                  </w:pPr>
                </w:p>
              </w:tc>
              <w:tc>
                <w:tcPr>
                  <w:tcW w:w="592" w:type="dxa"/>
                  <w:tcBorders>
                    <w:top w:val="single" w:sz="6" w:space="0" w:color="00000A"/>
                    <w:left w:val="single" w:sz="6" w:space="0" w:color="00000A"/>
                    <w:bottom w:val="single" w:sz="6" w:space="0" w:color="00000A"/>
                    <w:right w:val="single" w:sz="6" w:space="0" w:color="00000A"/>
                  </w:tcBorders>
                  <w:shd w:val="clear" w:color="auto" w:fill="FFFF00"/>
                  <w:tcMar>
                    <w:top w:w="0" w:type="dxa"/>
                    <w:left w:w="108" w:type="dxa"/>
                    <w:bottom w:w="0" w:type="dxa"/>
                    <w:right w:w="108" w:type="dxa"/>
                  </w:tcMar>
                </w:tcPr>
                <w:p w:rsidR="00A953A2" w:rsidRDefault="00A953A2">
                  <w:pPr>
                    <w:pStyle w:val="Standard"/>
                    <w:jc w:val="center"/>
                  </w:pPr>
                </w:p>
              </w:tc>
            </w:tr>
          </w:tbl>
          <w:p w:rsidR="00A953A2" w:rsidRDefault="00A953A2">
            <w:pPr>
              <w:pStyle w:val="Corpsdetexte"/>
              <w:widowControl w:val="0"/>
              <w:tabs>
                <w:tab w:val="left" w:pos="1701"/>
                <w:tab w:val="left" w:pos="3261"/>
              </w:tabs>
              <w:ind w:left="567"/>
            </w:pPr>
          </w:p>
        </w:tc>
      </w:tr>
      <w:tr w:rsidR="00A953A2">
        <w:tblPrEx>
          <w:tblCellMar>
            <w:top w:w="0" w:type="dxa"/>
            <w:bottom w:w="0" w:type="dxa"/>
          </w:tblCellMar>
        </w:tblPrEx>
        <w:trPr>
          <w:cantSplit/>
        </w:trPr>
        <w:tc>
          <w:tcPr>
            <w:tcW w:w="132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p w:rsidR="00A953A2" w:rsidRDefault="008710A8">
            <w:pPr>
              <w:pStyle w:val="Standard"/>
              <w:widowControl w:val="0"/>
            </w:pPr>
            <w:r>
              <w:rPr>
                <w:b/>
                <w:bCs/>
                <w:u w:val="single"/>
              </w:rPr>
              <w:t>Deuxième année de Master</w:t>
            </w:r>
          </w:p>
          <w:p w:rsidR="00A953A2" w:rsidRDefault="008710A8">
            <w:pPr>
              <w:pStyle w:val="Standard"/>
              <w:spacing w:before="120" w:after="0"/>
            </w:pPr>
            <w:r>
              <w:rPr>
                <w:rFonts w:ascii="Trebuchet MS" w:hAnsi="Trebuchet MS"/>
                <w:b/>
                <w:sz w:val="22"/>
                <w:szCs w:val="18"/>
              </w:rPr>
              <w:t>Parcours "environnement"</w:t>
            </w:r>
          </w:p>
          <w:p w:rsidR="00A953A2" w:rsidRDefault="008710A8">
            <w:pPr>
              <w:pStyle w:val="Standard"/>
              <w:spacing w:before="120" w:after="0"/>
              <w:jc w:val="both"/>
            </w:pPr>
            <w:r>
              <w:rPr>
                <w:rFonts w:ascii="Trebuchet MS" w:hAnsi="Trebuchet MS"/>
                <w:sz w:val="18"/>
                <w:szCs w:val="18"/>
                <w:u w:val="single"/>
              </w:rPr>
              <w:t>Semestre 1 (30 ECTS)</w:t>
            </w:r>
          </w:p>
          <w:p w:rsidR="00A953A2" w:rsidRDefault="008710A8">
            <w:pPr>
              <w:pStyle w:val="Standard"/>
              <w:spacing w:before="120" w:after="0"/>
              <w:jc w:val="both"/>
            </w:pPr>
            <w:r>
              <w:rPr>
                <w:rFonts w:ascii="Trebuchet MS" w:hAnsi="Trebuchet MS"/>
                <w:sz w:val="18"/>
                <w:szCs w:val="18"/>
              </w:rPr>
              <w:t xml:space="preserve">UE « Cours Fondamentaux (15 ECTS) » = 4 cours à </w:t>
            </w:r>
            <w:r>
              <w:rPr>
                <w:rFonts w:ascii="Trebuchet MS" w:hAnsi="Trebuchet MS"/>
                <w:sz w:val="18"/>
                <w:szCs w:val="18"/>
              </w:rPr>
              <w:t>choisir parmi les 7 cours fondamentaux proposés + cours Econométrie (obligatoire).</w:t>
            </w:r>
          </w:p>
          <w:p w:rsidR="00A953A2" w:rsidRDefault="008710A8">
            <w:pPr>
              <w:pStyle w:val="Standard"/>
              <w:spacing w:before="120" w:after="0"/>
              <w:jc w:val="both"/>
            </w:pPr>
            <w:r>
              <w:rPr>
                <w:rFonts w:ascii="Trebuchet MS" w:hAnsi="Trebuchet MS"/>
                <w:sz w:val="18"/>
                <w:szCs w:val="18"/>
              </w:rPr>
              <w:t>UE  « Cours de spécialisation R1 (4,5 ECTS) » = 3 cours à choisir dans la liste des 18 cours de spécialisation proposés.</w:t>
            </w:r>
          </w:p>
          <w:p w:rsidR="00A953A2" w:rsidRDefault="008710A8">
            <w:pPr>
              <w:pStyle w:val="Standard"/>
              <w:spacing w:before="120" w:after="0"/>
              <w:jc w:val="both"/>
            </w:pPr>
            <w:r>
              <w:rPr>
                <w:rFonts w:ascii="Trebuchet MS" w:hAnsi="Trebuchet MS"/>
                <w:sz w:val="18"/>
                <w:szCs w:val="18"/>
              </w:rPr>
              <w:t xml:space="preserve">UE « Cours de spécialisation R2 (4,5 ECTS) » = 3 </w:t>
            </w:r>
            <w:r>
              <w:rPr>
                <w:rFonts w:ascii="Trebuchet MS" w:hAnsi="Trebuchet MS"/>
                <w:sz w:val="18"/>
                <w:szCs w:val="18"/>
              </w:rPr>
              <w:t>cours à choisir parmi les 15 cours restant de la liste des cours de spécialisation.</w:t>
            </w:r>
          </w:p>
          <w:p w:rsidR="00A953A2" w:rsidRDefault="008710A8">
            <w:pPr>
              <w:pStyle w:val="Standard"/>
              <w:spacing w:before="120" w:after="0"/>
              <w:jc w:val="both"/>
            </w:pPr>
            <w:r>
              <w:rPr>
                <w:rFonts w:ascii="Trebuchet MS" w:hAnsi="Trebuchet MS"/>
                <w:sz w:val="18"/>
                <w:szCs w:val="18"/>
              </w:rPr>
              <w:t>UE  «  Cours d’Ouverture (3 ECTS) »  = 2 cours à choisir dans la liste des 7 cours d’ouverture.</w:t>
            </w:r>
          </w:p>
          <w:p w:rsidR="00A953A2" w:rsidRDefault="008710A8">
            <w:pPr>
              <w:pStyle w:val="Standard"/>
              <w:spacing w:before="120" w:after="0"/>
              <w:jc w:val="both"/>
            </w:pPr>
            <w:r>
              <w:rPr>
                <w:rFonts w:ascii="Trebuchet MS" w:hAnsi="Trebuchet MS"/>
                <w:sz w:val="18"/>
                <w:szCs w:val="18"/>
              </w:rPr>
              <w:t>UE «  Langue Vivante (3 ECTS) » = cours d’anglais obligatoire</w:t>
            </w:r>
          </w:p>
          <w:p w:rsidR="00A953A2" w:rsidRDefault="008710A8">
            <w:pPr>
              <w:pStyle w:val="Standard"/>
              <w:spacing w:before="120" w:after="0"/>
              <w:jc w:val="both"/>
            </w:pPr>
            <w:r>
              <w:rPr>
                <w:rFonts w:ascii="Trebuchet MS" w:hAnsi="Trebuchet MS"/>
                <w:sz w:val="18"/>
                <w:szCs w:val="18"/>
                <w:u w:val="single"/>
              </w:rPr>
              <w:t>Semestre 2 (30</w:t>
            </w:r>
            <w:r>
              <w:rPr>
                <w:rFonts w:ascii="Trebuchet MS" w:hAnsi="Trebuchet MS"/>
                <w:sz w:val="18"/>
                <w:szCs w:val="18"/>
                <w:u w:val="single"/>
              </w:rPr>
              <w:t xml:space="preserve"> ECTS) </w:t>
            </w:r>
          </w:p>
          <w:p w:rsidR="00A953A2" w:rsidRDefault="008710A8">
            <w:pPr>
              <w:pStyle w:val="Standard"/>
              <w:spacing w:before="120" w:after="0"/>
              <w:jc w:val="both"/>
            </w:pPr>
            <w:r>
              <w:rPr>
                <w:rFonts w:ascii="Trebuchet MS" w:hAnsi="Trebuchet MS"/>
                <w:sz w:val="18"/>
                <w:szCs w:val="18"/>
              </w:rPr>
              <w:t>UE  «  Cours de Formation à la Recherche (6 ECTS)» = 2 cours à choisir dans la liste des  6 cours de formation à la recherche proposés</w:t>
            </w:r>
          </w:p>
          <w:p w:rsidR="00A953A2" w:rsidRDefault="008710A8">
            <w:pPr>
              <w:pStyle w:val="Standard"/>
              <w:spacing w:before="120" w:after="0"/>
              <w:jc w:val="both"/>
            </w:pPr>
            <w:r>
              <w:rPr>
                <w:rFonts w:ascii="Trebuchet MS" w:hAnsi="Trebuchet MS"/>
                <w:sz w:val="18"/>
                <w:szCs w:val="18"/>
              </w:rPr>
              <w:t xml:space="preserve">UE «  Stage et mémoire (24 ECTS) » </w:t>
            </w:r>
          </w:p>
          <w:p w:rsidR="00A953A2" w:rsidRDefault="008710A8">
            <w:pPr>
              <w:pStyle w:val="Standard"/>
              <w:spacing w:before="120" w:after="0"/>
            </w:pPr>
            <w:r>
              <w:rPr>
                <w:rFonts w:ascii="Trebuchet MS" w:hAnsi="Trebuchet MS"/>
                <w:b/>
                <w:sz w:val="22"/>
                <w:szCs w:val="18"/>
              </w:rPr>
              <w:t>Parcours « énergie »</w:t>
            </w:r>
          </w:p>
          <w:p w:rsidR="00A953A2" w:rsidRDefault="008710A8">
            <w:pPr>
              <w:pStyle w:val="Standard"/>
              <w:spacing w:before="120" w:after="0"/>
              <w:jc w:val="both"/>
            </w:pPr>
            <w:r>
              <w:rPr>
                <w:rFonts w:ascii="Trebuchet MS" w:hAnsi="Trebuchet MS"/>
                <w:sz w:val="18"/>
                <w:szCs w:val="18"/>
              </w:rPr>
              <w:t>Les UE du parcours « énergie » sont construites ainsi :</w:t>
            </w:r>
          </w:p>
          <w:p w:rsidR="00A953A2" w:rsidRDefault="008710A8">
            <w:pPr>
              <w:pStyle w:val="Standard"/>
              <w:spacing w:before="120" w:after="0"/>
              <w:jc w:val="both"/>
            </w:pPr>
            <w:r>
              <w:rPr>
                <w:rFonts w:ascii="Trebuchet MS" w:hAnsi="Trebuchet MS"/>
                <w:b/>
                <w:i/>
                <w:sz w:val="18"/>
                <w:szCs w:val="18"/>
              </w:rPr>
              <w:t>Parcours « énergie – recherche »</w:t>
            </w:r>
          </w:p>
          <w:p w:rsidR="00A953A2" w:rsidRDefault="008710A8">
            <w:pPr>
              <w:pStyle w:val="Standard"/>
              <w:spacing w:before="120" w:after="0"/>
              <w:jc w:val="both"/>
            </w:pPr>
            <w:r>
              <w:rPr>
                <w:rFonts w:ascii="Trebuchet MS" w:hAnsi="Trebuchet MS"/>
                <w:sz w:val="18"/>
                <w:szCs w:val="18"/>
                <w:u w:val="single"/>
              </w:rPr>
              <w:t>Semestre 1 (30 ECTS)</w:t>
            </w:r>
          </w:p>
          <w:p w:rsidR="00A953A2" w:rsidRDefault="008710A8">
            <w:pPr>
              <w:pStyle w:val="Standard"/>
              <w:spacing w:before="120" w:after="0"/>
              <w:jc w:val="both"/>
            </w:pPr>
            <w:r>
              <w:rPr>
                <w:rFonts w:ascii="Trebuchet MS" w:hAnsi="Trebuchet MS"/>
                <w:sz w:val="18"/>
                <w:szCs w:val="18"/>
              </w:rPr>
              <w:t>UE « Cours Fondamentaux (15 ECTS) » = 5 cours fondamentaux obligatoires.</w:t>
            </w:r>
          </w:p>
          <w:p w:rsidR="00A953A2" w:rsidRDefault="008710A8">
            <w:pPr>
              <w:pStyle w:val="Standard"/>
              <w:spacing w:before="120" w:after="0"/>
              <w:jc w:val="both"/>
            </w:pPr>
            <w:r>
              <w:rPr>
                <w:rFonts w:ascii="Trebuchet MS" w:hAnsi="Trebuchet MS"/>
                <w:sz w:val="18"/>
                <w:szCs w:val="18"/>
              </w:rPr>
              <w:t>UE  « Cours de spécialisation R1 (4,5 ECTS) » = 1 cours à choisir dans la liste des cours des deux options de spécialisation et l</w:t>
            </w:r>
            <w:r>
              <w:rPr>
                <w:rFonts w:ascii="Trebuchet MS" w:hAnsi="Trebuchet MS"/>
                <w:sz w:val="18"/>
                <w:szCs w:val="18"/>
              </w:rPr>
              <w:t>a liste des cours de formation à la recherche et 1 cours à choisir dans la liste des cours optionnels (+ CS3, CS5 et CS9 du parcours environnement).</w:t>
            </w:r>
          </w:p>
          <w:p w:rsidR="00A953A2" w:rsidRDefault="008710A8">
            <w:pPr>
              <w:pStyle w:val="Standard"/>
              <w:spacing w:before="120" w:after="0"/>
              <w:jc w:val="both"/>
            </w:pPr>
            <w:r>
              <w:rPr>
                <w:rFonts w:ascii="Trebuchet MS" w:hAnsi="Trebuchet MS"/>
                <w:sz w:val="18"/>
                <w:szCs w:val="18"/>
              </w:rPr>
              <w:t>UE « Cours de spécialisation R2 (4,5 ECTS) » = 1 cours à choisir dans la liste des cours des deux options d</w:t>
            </w:r>
            <w:r>
              <w:rPr>
                <w:rFonts w:ascii="Trebuchet MS" w:hAnsi="Trebuchet MS"/>
                <w:sz w:val="18"/>
                <w:szCs w:val="18"/>
              </w:rPr>
              <w:t>e spécialisation et la liste des cours de formation à la recherche et 1 cours à choisir dans la liste des cours optionnels (+ CS3, CS5 et CS9 du parcours environnement).</w:t>
            </w:r>
          </w:p>
          <w:p w:rsidR="00A953A2" w:rsidRDefault="008710A8">
            <w:pPr>
              <w:pStyle w:val="Standard"/>
              <w:spacing w:before="120" w:after="0"/>
              <w:jc w:val="both"/>
            </w:pPr>
            <w:r>
              <w:rPr>
                <w:rFonts w:ascii="Trebuchet MS" w:hAnsi="Trebuchet MS"/>
                <w:sz w:val="18"/>
                <w:szCs w:val="18"/>
              </w:rPr>
              <w:t>UE  «  Cours d’Ouverture (3 ECTS) »  = 2 cours à choisir dans la liste des 7 cours d’o</w:t>
            </w:r>
            <w:r>
              <w:rPr>
                <w:rFonts w:ascii="Trebuchet MS" w:hAnsi="Trebuchet MS"/>
                <w:sz w:val="18"/>
                <w:szCs w:val="18"/>
              </w:rPr>
              <w:t>uverture.</w:t>
            </w:r>
          </w:p>
          <w:p w:rsidR="00A953A2" w:rsidRDefault="008710A8">
            <w:pPr>
              <w:pStyle w:val="Standard"/>
              <w:spacing w:before="120" w:after="0"/>
              <w:jc w:val="both"/>
            </w:pPr>
            <w:r>
              <w:rPr>
                <w:rFonts w:ascii="Trebuchet MS" w:hAnsi="Trebuchet MS"/>
                <w:sz w:val="18"/>
                <w:szCs w:val="18"/>
              </w:rPr>
              <w:t>UE «  Langue Vivante (3 ECTS) » = cours d’anglais obligatoire.</w:t>
            </w:r>
          </w:p>
          <w:p w:rsidR="00A953A2" w:rsidRDefault="008710A8">
            <w:pPr>
              <w:pStyle w:val="Standard"/>
              <w:spacing w:before="120" w:after="0"/>
              <w:jc w:val="both"/>
            </w:pPr>
            <w:r>
              <w:rPr>
                <w:rFonts w:ascii="Trebuchet MS" w:hAnsi="Trebuchet MS"/>
                <w:sz w:val="18"/>
                <w:szCs w:val="18"/>
                <w:u w:val="single"/>
              </w:rPr>
              <w:t xml:space="preserve">Semestre 2 (30 ECTS) </w:t>
            </w:r>
          </w:p>
          <w:p w:rsidR="00A953A2" w:rsidRDefault="008710A8">
            <w:pPr>
              <w:pStyle w:val="Standard"/>
              <w:spacing w:before="120" w:after="0"/>
              <w:jc w:val="both"/>
            </w:pPr>
            <w:r>
              <w:rPr>
                <w:rFonts w:ascii="Trebuchet MS" w:hAnsi="Trebuchet MS"/>
                <w:sz w:val="18"/>
                <w:szCs w:val="18"/>
              </w:rPr>
              <w:t>UE  «  Cours de Formation à la Recherche (6 ECTS)» = 2 cours à choisir dans la liste des  8 cours de formation à la recherche proposés (à l’exclusion des éventue</w:t>
            </w:r>
            <w:r>
              <w:rPr>
                <w:rFonts w:ascii="Trebuchet MS" w:hAnsi="Trebuchet MS"/>
                <w:sz w:val="18"/>
                <w:szCs w:val="18"/>
              </w:rPr>
              <w:t>ls cours retenus pour constituer les UE de spécialisation)</w:t>
            </w:r>
          </w:p>
          <w:p w:rsidR="00A953A2" w:rsidRDefault="008710A8">
            <w:pPr>
              <w:pStyle w:val="Standard"/>
              <w:spacing w:before="120" w:after="0"/>
              <w:jc w:val="both"/>
            </w:pPr>
            <w:r>
              <w:rPr>
                <w:rFonts w:ascii="Trebuchet MS" w:hAnsi="Trebuchet MS"/>
                <w:sz w:val="18"/>
                <w:szCs w:val="18"/>
              </w:rPr>
              <w:t xml:space="preserve">UE «  Stage et mémoire (24 ECTS) » </w:t>
            </w:r>
          </w:p>
          <w:p w:rsidR="00A953A2" w:rsidRDefault="008710A8">
            <w:pPr>
              <w:pStyle w:val="Standard"/>
              <w:spacing w:before="120" w:after="0"/>
              <w:jc w:val="both"/>
            </w:pPr>
            <w:r>
              <w:rPr>
                <w:rFonts w:ascii="Trebuchet MS" w:hAnsi="Trebuchet MS"/>
                <w:b/>
                <w:i/>
                <w:sz w:val="18"/>
                <w:szCs w:val="18"/>
              </w:rPr>
              <w:t>Parcours « énergie – professionnel – statut étudiant »</w:t>
            </w:r>
          </w:p>
          <w:p w:rsidR="00A953A2" w:rsidRDefault="008710A8">
            <w:pPr>
              <w:pStyle w:val="Standard"/>
              <w:spacing w:before="120" w:after="0"/>
              <w:jc w:val="both"/>
            </w:pPr>
            <w:r>
              <w:rPr>
                <w:rFonts w:ascii="Trebuchet MS" w:hAnsi="Trebuchet MS"/>
                <w:sz w:val="18"/>
                <w:szCs w:val="18"/>
                <w:u w:val="single"/>
              </w:rPr>
              <w:t>Semestre 1 (30 ECTS)</w:t>
            </w:r>
          </w:p>
          <w:p w:rsidR="00A953A2" w:rsidRDefault="008710A8">
            <w:pPr>
              <w:pStyle w:val="Standard"/>
              <w:spacing w:before="120" w:after="0"/>
              <w:jc w:val="both"/>
            </w:pPr>
            <w:r>
              <w:rPr>
                <w:rFonts w:ascii="Trebuchet MS" w:hAnsi="Trebuchet MS"/>
                <w:sz w:val="18"/>
                <w:szCs w:val="18"/>
              </w:rPr>
              <w:t>UE « Cours Fondamentaux (15 ECTS) » = 5 cours fondamentaux obligatoires.</w:t>
            </w:r>
          </w:p>
          <w:p w:rsidR="00A953A2" w:rsidRDefault="008710A8">
            <w:pPr>
              <w:pStyle w:val="Standard"/>
              <w:spacing w:before="120" w:after="0"/>
              <w:jc w:val="both"/>
            </w:pPr>
            <w:r>
              <w:rPr>
                <w:rFonts w:ascii="Trebuchet MS" w:hAnsi="Trebuchet MS"/>
                <w:sz w:val="18"/>
                <w:szCs w:val="18"/>
              </w:rPr>
              <w:t xml:space="preserve">UE  « Cours </w:t>
            </w:r>
            <w:r>
              <w:rPr>
                <w:rFonts w:ascii="Trebuchet MS" w:hAnsi="Trebuchet MS"/>
                <w:sz w:val="18"/>
                <w:szCs w:val="18"/>
              </w:rPr>
              <w:t>Optionnels (6 ECTS) » =  4 cours à choisir dans la liste des cours optionnels.</w:t>
            </w:r>
          </w:p>
          <w:p w:rsidR="00A953A2" w:rsidRDefault="008710A8">
            <w:pPr>
              <w:pStyle w:val="Standard"/>
              <w:spacing w:before="120" w:after="0"/>
              <w:jc w:val="both"/>
            </w:pPr>
            <w:r>
              <w:rPr>
                <w:rFonts w:ascii="Trebuchet MS" w:hAnsi="Trebuchet MS"/>
                <w:sz w:val="18"/>
                <w:szCs w:val="18"/>
              </w:rPr>
              <w:t>UE « Cours de Spécialisation P1 (6 ECTS) » = 2 cours à choisir dans la liste (selon l’option choisie) des 5 cours de l’option de spécialisation.</w:t>
            </w:r>
          </w:p>
          <w:p w:rsidR="00A953A2" w:rsidRDefault="008710A8">
            <w:pPr>
              <w:pStyle w:val="Standard"/>
              <w:spacing w:before="120" w:after="0"/>
              <w:jc w:val="both"/>
            </w:pPr>
            <w:r>
              <w:rPr>
                <w:rFonts w:ascii="Trebuchet MS" w:hAnsi="Trebuchet MS"/>
                <w:sz w:val="18"/>
                <w:szCs w:val="18"/>
              </w:rPr>
              <w:t xml:space="preserve">UE «  Langue Vivante (3 ECTS) » </w:t>
            </w:r>
            <w:r>
              <w:rPr>
                <w:rFonts w:ascii="Trebuchet MS" w:hAnsi="Trebuchet MS"/>
                <w:sz w:val="18"/>
                <w:szCs w:val="18"/>
              </w:rPr>
              <w:t>= cours d’anglais obligatoire.</w:t>
            </w:r>
          </w:p>
          <w:p w:rsidR="00A953A2" w:rsidRDefault="008710A8">
            <w:pPr>
              <w:pStyle w:val="Standard"/>
              <w:spacing w:before="120" w:after="0"/>
              <w:jc w:val="both"/>
            </w:pPr>
            <w:r>
              <w:rPr>
                <w:rFonts w:ascii="Trebuchet MS" w:hAnsi="Trebuchet MS"/>
                <w:sz w:val="18"/>
                <w:szCs w:val="18"/>
                <w:u w:val="single"/>
              </w:rPr>
              <w:t xml:space="preserve">Semestre  2 (30 ECTS) </w:t>
            </w:r>
          </w:p>
          <w:p w:rsidR="00A953A2" w:rsidRDefault="008710A8">
            <w:pPr>
              <w:pStyle w:val="Standard"/>
              <w:spacing w:before="120" w:after="0"/>
              <w:jc w:val="both"/>
            </w:pPr>
            <w:r>
              <w:rPr>
                <w:rFonts w:ascii="Trebuchet MS" w:hAnsi="Trebuchet MS"/>
                <w:sz w:val="18"/>
                <w:szCs w:val="18"/>
              </w:rPr>
              <w:t>UE  «  Cours de Spécialisation P2 (6 ECTS)» =  2 cours à choisir dans la liste (selon l’option choisie) des 3 cours de l’option de spécialisation restant.</w:t>
            </w:r>
          </w:p>
          <w:p w:rsidR="00A953A2" w:rsidRDefault="008710A8">
            <w:pPr>
              <w:pStyle w:val="Standard"/>
              <w:spacing w:before="120" w:after="0"/>
              <w:jc w:val="both"/>
            </w:pPr>
            <w:r>
              <w:rPr>
                <w:rFonts w:ascii="Trebuchet MS" w:hAnsi="Trebuchet MS"/>
                <w:sz w:val="18"/>
                <w:szCs w:val="18"/>
              </w:rPr>
              <w:t xml:space="preserve">UE «  Stage et mémoire (24 ECTS) » </w:t>
            </w:r>
          </w:p>
          <w:p w:rsidR="00A953A2" w:rsidRDefault="008710A8">
            <w:pPr>
              <w:pStyle w:val="Standard"/>
              <w:spacing w:before="120" w:after="0"/>
              <w:jc w:val="both"/>
            </w:pPr>
            <w:r>
              <w:rPr>
                <w:rFonts w:ascii="Trebuchet MS" w:hAnsi="Trebuchet MS"/>
                <w:b/>
                <w:i/>
                <w:sz w:val="18"/>
                <w:szCs w:val="18"/>
              </w:rPr>
              <w:t>Parcours « </w:t>
            </w:r>
            <w:r>
              <w:rPr>
                <w:rFonts w:ascii="Trebuchet MS" w:hAnsi="Trebuchet MS"/>
                <w:b/>
                <w:i/>
                <w:sz w:val="18"/>
                <w:szCs w:val="18"/>
              </w:rPr>
              <w:t>énergie – professionnel – statut apprenti »</w:t>
            </w:r>
          </w:p>
          <w:p w:rsidR="00A953A2" w:rsidRDefault="008710A8">
            <w:pPr>
              <w:pStyle w:val="Standard"/>
              <w:spacing w:before="120" w:after="0"/>
              <w:jc w:val="both"/>
            </w:pPr>
            <w:r>
              <w:rPr>
                <w:rFonts w:ascii="Trebuchet MS" w:hAnsi="Trebuchet MS"/>
                <w:sz w:val="18"/>
                <w:szCs w:val="18"/>
                <w:u w:val="single"/>
              </w:rPr>
              <w:t>Semestre 1 (30 ECTS)</w:t>
            </w:r>
          </w:p>
          <w:p w:rsidR="00A953A2" w:rsidRDefault="008710A8">
            <w:pPr>
              <w:pStyle w:val="Standard"/>
              <w:spacing w:before="120" w:after="0"/>
              <w:jc w:val="both"/>
            </w:pPr>
            <w:r>
              <w:rPr>
                <w:rFonts w:ascii="Trebuchet MS" w:hAnsi="Trebuchet MS"/>
                <w:sz w:val="18"/>
                <w:szCs w:val="18"/>
              </w:rPr>
              <w:t>UE « Cours Fondamentaux (15 ECTS) » = 5 cours fondamentaux obligatoires.</w:t>
            </w:r>
          </w:p>
          <w:p w:rsidR="00A953A2" w:rsidRDefault="008710A8">
            <w:pPr>
              <w:pStyle w:val="Standard"/>
              <w:spacing w:before="120" w:after="0"/>
              <w:jc w:val="both"/>
            </w:pPr>
            <w:r>
              <w:rPr>
                <w:rFonts w:ascii="Trebuchet MS" w:hAnsi="Trebuchet MS"/>
                <w:sz w:val="18"/>
                <w:szCs w:val="18"/>
              </w:rPr>
              <w:t xml:space="preserve">UE  « Formation par apprentissage 1 (12 ECTS) » </w:t>
            </w: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8710A8">
            <w:pPr>
              <w:pStyle w:val="Standard"/>
              <w:spacing w:before="120" w:after="0"/>
              <w:jc w:val="both"/>
            </w:pPr>
            <w:r>
              <w:rPr>
                <w:rFonts w:ascii="Trebuchet MS" w:hAnsi="Trebuchet MS"/>
                <w:sz w:val="18"/>
                <w:szCs w:val="18"/>
              </w:rPr>
              <w:t xml:space="preserve">UE «  Langue Vivante (3 ECTS) » = cours d’anglais </w:t>
            </w:r>
            <w:r>
              <w:rPr>
                <w:rFonts w:ascii="Trebuchet MS" w:hAnsi="Trebuchet MS"/>
                <w:sz w:val="18"/>
                <w:szCs w:val="18"/>
              </w:rPr>
              <w:t>obligatoire.</w:t>
            </w: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spacing w:before="120" w:after="0"/>
              <w:jc w:val="both"/>
            </w:pPr>
          </w:p>
          <w:p w:rsidR="00A953A2" w:rsidRDefault="008710A8">
            <w:pPr>
              <w:pStyle w:val="Standard"/>
              <w:spacing w:before="120" w:after="0"/>
              <w:jc w:val="both"/>
            </w:pPr>
            <w:r>
              <w:rPr>
                <w:rFonts w:ascii="Trebuchet MS" w:hAnsi="Trebuchet MS"/>
                <w:sz w:val="18"/>
                <w:szCs w:val="18"/>
                <w:u w:val="single"/>
              </w:rPr>
              <w:t xml:space="preserve">Semestre  2 (30 ECTS) </w:t>
            </w:r>
          </w:p>
          <w:p w:rsidR="00A953A2" w:rsidRDefault="008710A8">
            <w:pPr>
              <w:pStyle w:val="Standard"/>
              <w:spacing w:before="120" w:after="0"/>
              <w:jc w:val="both"/>
            </w:pPr>
            <w:r>
              <w:rPr>
                <w:rFonts w:ascii="Trebuchet MS" w:hAnsi="Trebuchet MS"/>
                <w:sz w:val="18"/>
                <w:szCs w:val="18"/>
              </w:rPr>
              <w:t>UE  «  Cours de Spécialisation P2 (6 ECTS)» =  2 cours à choisir dans la liste (selon l’option choisie) des 5 cours de l’option de spécialisation.</w:t>
            </w:r>
          </w:p>
          <w:p w:rsidR="00A953A2" w:rsidRDefault="008710A8">
            <w:pPr>
              <w:pStyle w:val="Standard"/>
              <w:spacing w:before="120" w:after="0"/>
              <w:jc w:val="both"/>
            </w:pPr>
            <w:r>
              <w:rPr>
                <w:rFonts w:ascii="Trebuchet MS" w:hAnsi="Trebuchet MS"/>
                <w:sz w:val="18"/>
                <w:szCs w:val="18"/>
              </w:rPr>
              <w:t xml:space="preserve">UE «  Formation par apprentissage 2  (24 ECTS) » </w:t>
            </w:r>
          </w:p>
          <w:p w:rsidR="00A953A2" w:rsidRDefault="00A953A2">
            <w:pPr>
              <w:pStyle w:val="Standard"/>
              <w:spacing w:before="120" w:after="0"/>
              <w:jc w:val="both"/>
            </w:pPr>
          </w:p>
          <w:p w:rsidR="00A953A2" w:rsidRDefault="00A953A2">
            <w:pPr>
              <w:pStyle w:val="Standard"/>
              <w:spacing w:before="120" w:after="0"/>
              <w:jc w:val="both"/>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p w:rsidR="00A953A2" w:rsidRDefault="00A953A2">
            <w:pPr>
              <w:pStyle w:val="Standard"/>
              <w:widowControl w:val="0"/>
            </w:pP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bCs/>
              </w:rPr>
              <w:lastRenderedPageBreak/>
              <w:t>Conditions d’inscription à la certification</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bCs/>
              </w:rPr>
              <w:t>Oui</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bCs/>
              </w:rPr>
              <w:t>Non</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bCs/>
              </w:rPr>
              <w:t>Indiquer la composition des jurys</w:t>
            </w:r>
          </w:p>
        </w:tc>
      </w:tr>
      <w:tr w:rsidR="00A953A2">
        <w:tblPrEx>
          <w:tblCellMar>
            <w:top w:w="0" w:type="dxa"/>
            <w:bottom w:w="0" w:type="dxa"/>
          </w:tblCellMar>
        </w:tblPrEx>
        <w:trPr>
          <w:cantSplit/>
          <w:trHeight w:val="70"/>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Après un parcours de formation sous statut d’élève ou d’étudiant</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shd w:val="clear" w:color="auto" w:fill="FFFFFF"/>
                <w:lang w:eastAsia="ar-SA"/>
              </w:rPr>
              <w:t>Enseignants-chercheurs et professionnels membres de l’équipe de</w:t>
            </w:r>
            <w:r>
              <w:rPr>
                <w:shd w:val="clear" w:color="auto" w:fill="FFFFFF"/>
                <w:lang w:eastAsia="ar-SA"/>
              </w:rPr>
              <w:t xml:space="preserve"> formation</w:t>
            </w: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En contrat d’apprentissage</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Après un parcours de formation continue</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shd w:val="clear" w:color="auto" w:fill="FFFFFF"/>
                <w:lang w:eastAsia="ar-SA"/>
              </w:rPr>
              <w:t>Enseignants-chercheurs et professionnels membres de l’équipe de formation</w:t>
            </w: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En contrat de professionnalisation</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Par candidature libre</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shd w:val="clear" w:color="auto" w:fill="FFFFFF"/>
                <w:lang w:eastAsia="ar-SA"/>
              </w:rPr>
              <w:t xml:space="preserve">Enseignants-chercheurs et </w:t>
            </w:r>
            <w:r>
              <w:rPr>
                <w:shd w:val="clear" w:color="auto" w:fill="FFFFFF"/>
                <w:lang w:eastAsia="ar-SA"/>
              </w:rPr>
              <w:t>professionnels membres de l’équipe de formation</w:t>
            </w:r>
          </w:p>
        </w:tc>
      </w:tr>
      <w:tr w:rsidR="00A953A2">
        <w:tblPrEx>
          <w:tblCellMar>
            <w:top w:w="0" w:type="dxa"/>
            <w:bottom w:w="0" w:type="dxa"/>
          </w:tblCellMar>
        </w:tblPrEx>
        <w:trPr>
          <w:cantSplit/>
        </w:trPr>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Par expérience</w:t>
            </w:r>
            <w:r>
              <w:tab/>
            </w:r>
          </w:p>
          <w:p w:rsidR="00A953A2" w:rsidRDefault="008710A8">
            <w:pPr>
              <w:pStyle w:val="Standard"/>
              <w:widowControl w:val="0"/>
            </w:pPr>
            <w:r>
              <w:rPr>
                <w:i/>
                <w:iCs/>
              </w:rPr>
              <w:t>Date de mise en place :</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t>X</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widowControl w:val="0"/>
            </w:pPr>
          </w:p>
        </w:tc>
        <w:tc>
          <w:tcPr>
            <w:tcW w:w="13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widowControl w:val="0"/>
            </w:pPr>
            <w:r>
              <w:rPr>
                <w:shd w:val="clear" w:color="auto" w:fill="FFFFFF"/>
                <w:lang w:eastAsia="ar-SA"/>
              </w:rPr>
              <w:t>Commission de validation des acquis de l’expérience</w:t>
            </w: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784"/>
        <w:gridCol w:w="5103"/>
      </w:tblGrid>
      <w:tr w:rsidR="00A953A2">
        <w:tblPrEx>
          <w:tblCellMar>
            <w:top w:w="0" w:type="dxa"/>
            <w:bottom w:w="0" w:type="dxa"/>
          </w:tblCellMar>
        </w:tblPrEx>
        <w:tc>
          <w:tcPr>
            <w:tcW w:w="4784"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Liens avec d’autres certifications (cadre 8)</w:t>
            </w:r>
          </w:p>
        </w:tc>
        <w:tc>
          <w:tcPr>
            <w:tcW w:w="5103"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Accords européens ou internationaux (cadre 9)</w:t>
            </w:r>
          </w:p>
        </w:tc>
      </w:tr>
      <w:tr w:rsidR="00A953A2">
        <w:tblPrEx>
          <w:tblCellMar>
            <w:top w:w="0" w:type="dxa"/>
            <w:bottom w:w="0" w:type="dxa"/>
          </w:tblCellMar>
        </w:tblPrEx>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bCs/>
              </w:rPr>
              <w:t>AgroParisTech</w:t>
            </w:r>
          </w:p>
          <w:p w:rsidR="00A953A2" w:rsidRDefault="008710A8">
            <w:pPr>
              <w:pStyle w:val="Corpsdetexte"/>
            </w:pPr>
            <w:r>
              <w:rPr>
                <w:rFonts w:ascii="Trebuchet MS" w:hAnsi="Trebuchet MS"/>
                <w:iCs/>
                <w:color w:val="61AB3F"/>
                <w:sz w:val="18"/>
                <w:szCs w:val="18"/>
              </w:rPr>
              <w:t xml:space="preserve">Etablissement(s) co-habilité(s) : </w:t>
            </w:r>
            <w:r>
              <w:rPr>
                <w:rFonts w:ascii="Trebuchet MS" w:hAnsi="Trebuchet MS"/>
                <w:iCs/>
                <w:sz w:val="18"/>
                <w:szCs w:val="18"/>
              </w:rPr>
              <w:t>Université Paris Ouest-Nanterre (porteur principal), AgroParisTech, Ecole Nationale Supérieure du Pétrole et des Moteurs (IFP School), Ecole Polytechnique, MINES ParisTech, Ecole des Ponts Paris-Tech, Institut National des</w:t>
            </w:r>
            <w:r>
              <w:rPr>
                <w:rFonts w:ascii="Trebuchet MS" w:hAnsi="Trebuchet MS"/>
                <w:iCs/>
                <w:sz w:val="18"/>
                <w:szCs w:val="18"/>
              </w:rPr>
              <w:t xml:space="preserve"> Sciences et Techniques Nucléaires (INSTN), Ecole des </w:t>
            </w:r>
            <w:r>
              <w:rPr>
                <w:rFonts w:ascii="Trebuchet MS" w:hAnsi="Trebuchet MS"/>
                <w:iCs/>
                <w:sz w:val="18"/>
                <w:szCs w:val="18"/>
              </w:rPr>
              <w:lastRenderedPageBreak/>
              <w:t>Hautes Etudes en Sciences Sociales, Université de Bourgogne.</w:t>
            </w:r>
          </w:p>
          <w:p w:rsidR="00A953A2" w:rsidRDefault="00A953A2">
            <w:pPr>
              <w:pStyle w:val="Standard"/>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bCs/>
              </w:rPr>
              <w:lastRenderedPageBreak/>
              <w:t>Université California Davis; Université du Maryland</w:t>
            </w:r>
          </w:p>
          <w:p w:rsidR="00A953A2" w:rsidRDefault="00A953A2">
            <w:pPr>
              <w:pStyle w:val="Standard"/>
            </w:pP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934"/>
        <w:gridCol w:w="5953"/>
      </w:tblGrid>
      <w:tr w:rsidR="00A953A2">
        <w:tblPrEx>
          <w:tblCellMar>
            <w:top w:w="0" w:type="dxa"/>
            <w:bottom w:w="0" w:type="dxa"/>
          </w:tblCellMar>
        </w:tblPrEx>
        <w:trPr>
          <w:cantSplit/>
          <w:trHeight w:val="325"/>
        </w:trPr>
        <w:tc>
          <w:tcPr>
            <w:tcW w:w="3934"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Base légale (cadre 10)</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cantSplit/>
          <w:trHeight w:val="1463"/>
        </w:trPr>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u w:val="single"/>
              </w:rPr>
              <w:t xml:space="preserve">Référence arrêté création (ou date 1er arrêté </w:t>
            </w:r>
            <w:r>
              <w:rPr>
                <w:u w:val="single"/>
              </w:rPr>
              <w:t>enregistrement)</w:t>
            </w:r>
            <w:r>
              <w:t xml:space="preserve"> :</w:t>
            </w:r>
          </w:p>
          <w:p w:rsidR="00A953A2" w:rsidRDefault="00A953A2">
            <w:pPr>
              <w:pStyle w:val="Standard"/>
            </w:pPr>
          </w:p>
          <w:p w:rsidR="00A953A2" w:rsidRDefault="008710A8">
            <w:pPr>
              <w:pStyle w:val="Standard"/>
            </w:pPr>
            <w:r>
              <w:rPr>
                <w:u w:val="single"/>
              </w:rPr>
              <w:t>Références autres</w:t>
            </w:r>
            <w:r>
              <w:t xml:space="preserve"> :</w:t>
            </w:r>
          </w:p>
          <w:p w:rsidR="00A953A2" w:rsidRDefault="00A953A2">
            <w:pPr>
              <w:pStyle w:val="Standard"/>
            </w:pPr>
          </w:p>
          <w:p w:rsidR="00A953A2" w:rsidRDefault="00A953A2">
            <w:pPr>
              <w:pStyle w:val="Standard"/>
            </w:pP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934"/>
        <w:gridCol w:w="5953"/>
      </w:tblGrid>
      <w:tr w:rsidR="00A953A2">
        <w:tblPrEx>
          <w:tblCellMar>
            <w:top w:w="0" w:type="dxa"/>
            <w:bottom w:w="0" w:type="dxa"/>
          </w:tblCellMar>
        </w:tblPrEx>
        <w:trPr>
          <w:cantSplit/>
          <w:trHeight w:val="353"/>
        </w:trPr>
        <w:tc>
          <w:tcPr>
            <w:tcW w:w="3934"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Pour  plus d’information (cadre 11)</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cantSplit/>
          <w:trHeight w:val="1462"/>
        </w:trPr>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u w:val="single"/>
              </w:rPr>
              <w:t>Statistiques</w:t>
            </w:r>
            <w:r>
              <w:t xml:space="preserve"> : En 2011-2012, les effectifs étaient les suivants : 40  étudiants inscrits en première année et 117 étudiants inscrits en deuxième année (dont 60 en parcours </w:t>
            </w:r>
            <w:r>
              <w:t>énergie et 57 en parcours énvironnement)</w:t>
            </w:r>
          </w:p>
          <w:p w:rsidR="00A953A2" w:rsidRDefault="00A953A2">
            <w:pPr>
              <w:pStyle w:val="Standard"/>
            </w:pPr>
          </w:p>
          <w:p w:rsidR="00A953A2" w:rsidRDefault="008710A8">
            <w:pPr>
              <w:pStyle w:val="Standard"/>
            </w:pPr>
            <w:r>
              <w:rPr>
                <w:u w:val="single"/>
              </w:rPr>
              <w:t>Autres sources d'informations</w:t>
            </w:r>
            <w:r>
              <w:t xml:space="preserve"> : www.u-paris10.fr, www.master-eddee.fr</w:t>
            </w:r>
          </w:p>
          <w:p w:rsidR="00A953A2" w:rsidRDefault="00A953A2">
            <w:pPr>
              <w:pStyle w:val="Standard"/>
            </w:pPr>
          </w:p>
          <w:p w:rsidR="00A953A2" w:rsidRDefault="008710A8">
            <w:pPr>
              <w:pStyle w:val="Standard"/>
            </w:pPr>
            <w:r>
              <w:rPr>
                <w:u w:val="single"/>
              </w:rPr>
              <w:t>Lieu(x) de certification</w:t>
            </w:r>
            <w:r>
              <w:t> : Université Paris Ouest – Nanterre La Défense</w:t>
            </w:r>
          </w:p>
          <w:p w:rsidR="00A953A2" w:rsidRDefault="00A953A2">
            <w:pPr>
              <w:pStyle w:val="Standard"/>
            </w:pPr>
          </w:p>
          <w:p w:rsidR="00A953A2" w:rsidRDefault="008710A8">
            <w:pPr>
              <w:pStyle w:val="Standard"/>
            </w:pPr>
            <w:r>
              <w:rPr>
                <w:u w:val="single"/>
              </w:rPr>
              <w:t>Lieu(x) de préparation à la certification déclaré(s) par l’organisme c</w:t>
            </w:r>
            <w:r>
              <w:rPr>
                <w:u w:val="single"/>
              </w:rPr>
              <w:t>ertificateur :</w:t>
            </w:r>
            <w:r>
              <w:t xml:space="preserve"> Université Paris Ouest – Nanterre La Défense</w:t>
            </w:r>
          </w:p>
          <w:p w:rsidR="00A953A2" w:rsidRDefault="00A953A2">
            <w:pPr>
              <w:pStyle w:val="Standard"/>
            </w:pPr>
          </w:p>
          <w:p w:rsidR="00A953A2" w:rsidRDefault="008710A8">
            <w:pPr>
              <w:pStyle w:val="Standard"/>
            </w:pPr>
            <w:r>
              <w:rPr>
                <w:u w:val="single"/>
              </w:rPr>
              <w:t>Historique</w:t>
            </w:r>
            <w:r>
              <w:t> :</w:t>
            </w:r>
            <w:r>
              <w:rPr>
                <w:shd w:val="clear" w:color="auto" w:fill="FFFFFF"/>
              </w:rPr>
              <w:t xml:space="preserve"> Le Master 1 Economie de l'Environnement et de l'Energie a été habilité à l’occasion de la réforme LMD en 2005; le Master 2 EDDEE existe dans sa configuration actuelle depuis 2006</w:t>
            </w:r>
          </w:p>
          <w:p w:rsidR="00A953A2" w:rsidRDefault="00A953A2">
            <w:pPr>
              <w:pStyle w:val="Standard"/>
            </w:pPr>
          </w:p>
          <w:p w:rsidR="00A953A2" w:rsidRDefault="008710A8">
            <w:pPr>
              <w:pStyle w:val="Standard"/>
            </w:pPr>
            <w:r>
              <w:tab/>
            </w:r>
          </w:p>
        </w:tc>
      </w:tr>
    </w:tbl>
    <w:p w:rsidR="00A953A2" w:rsidRDefault="00A953A2">
      <w:pPr>
        <w:pStyle w:val="Standard"/>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44"/>
        <w:gridCol w:w="4943"/>
      </w:tblGrid>
      <w:tr w:rsidR="00A953A2">
        <w:tblPrEx>
          <w:tblCellMar>
            <w:top w:w="0" w:type="dxa"/>
            <w:bottom w:w="0" w:type="dxa"/>
          </w:tblCellMar>
        </w:tblPrEx>
        <w:trPr>
          <w:cantSplit/>
          <w:trHeight w:val="297"/>
        </w:trPr>
        <w:tc>
          <w:tcPr>
            <w:tcW w:w="4944" w:type="dxa"/>
            <w:tcBorders>
              <w:top w:val="single" w:sz="4" w:space="0" w:color="00000A"/>
              <w:left w:val="single" w:sz="4" w:space="0" w:color="00000A"/>
              <w:bottom w:val="single" w:sz="4" w:space="0" w:color="00000A"/>
              <w:right w:val="single" w:sz="4" w:space="0" w:color="00000A"/>
            </w:tcBorders>
            <w:shd w:val="clear" w:color="auto" w:fill="003366"/>
            <w:tcMar>
              <w:top w:w="0" w:type="dxa"/>
              <w:left w:w="108" w:type="dxa"/>
              <w:bottom w:w="0" w:type="dxa"/>
              <w:right w:w="108" w:type="dxa"/>
            </w:tcMar>
          </w:tcPr>
          <w:p w:rsidR="00A953A2" w:rsidRDefault="008710A8">
            <w:pPr>
              <w:pStyle w:val="Standard"/>
            </w:pPr>
            <w:r>
              <w:rPr>
                <w:b/>
                <w:color w:val="FFFFFF"/>
              </w:rPr>
              <w:t>Liste des liens sources (cadre 12)</w:t>
            </w:r>
          </w:p>
        </w:tc>
        <w:tc>
          <w:tcPr>
            <w:tcW w:w="4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cantSplit/>
          <w:trHeight w:val="709"/>
        </w:trPr>
        <w:tc>
          <w:tcPr>
            <w:tcW w:w="49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53A2" w:rsidRDefault="008710A8">
            <w:pPr>
              <w:pStyle w:val="Standard"/>
            </w:pPr>
            <w:r>
              <w:rPr>
                <w:u w:val="single"/>
              </w:rPr>
              <w:lastRenderedPageBreak/>
              <w:t>Site Internet de l’autorité délivrant la certification</w:t>
            </w:r>
          </w:p>
          <w:p w:rsidR="00A953A2" w:rsidRDefault="008710A8">
            <w:pPr>
              <w:pStyle w:val="Standard"/>
            </w:pPr>
            <w:r>
              <w:t>www.u-paris10.fr</w:t>
            </w:r>
          </w:p>
          <w:p w:rsidR="00A953A2" w:rsidRDefault="00A953A2">
            <w:pPr>
              <w:pStyle w:val="Standard"/>
            </w:pPr>
          </w:p>
          <w:p w:rsidR="00A953A2" w:rsidRDefault="00A953A2">
            <w:pPr>
              <w:pStyle w:val="Standard"/>
            </w:pPr>
          </w:p>
          <w:p w:rsidR="00A953A2" w:rsidRDefault="00A953A2">
            <w:pPr>
              <w:pStyle w:val="Standard"/>
            </w:pPr>
          </w:p>
        </w:tc>
      </w:tr>
    </w:tbl>
    <w:p w:rsidR="00A953A2" w:rsidRDefault="00A953A2">
      <w:pPr>
        <w:pStyle w:val="Standard"/>
      </w:pPr>
    </w:p>
    <w:p w:rsidR="00A953A2" w:rsidRDefault="00A953A2">
      <w:pPr>
        <w:pStyle w:val="Standard"/>
      </w:pPr>
    </w:p>
    <w:p w:rsidR="00A953A2" w:rsidRDefault="008710A8">
      <w:pPr>
        <w:pStyle w:val="Standard"/>
      </w:pPr>
      <w:r>
        <w:t>Annexe-Cours de M2</w:t>
      </w:r>
    </w:p>
    <w:p w:rsidR="00A953A2" w:rsidRDefault="008710A8">
      <w:pPr>
        <w:pStyle w:val="Standard"/>
      </w:pPr>
      <w:r>
        <w:t>Parcours Environnement</w:t>
      </w:r>
    </w:p>
    <w:tbl>
      <w:tblPr>
        <w:tblW w:w="0" w:type="auto"/>
        <w:tblInd w:w="-260"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872"/>
        <w:gridCol w:w="1872"/>
        <w:gridCol w:w="1873"/>
        <w:gridCol w:w="1872"/>
      </w:tblGrid>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COURS FONDAMENTAUX</w:t>
            </w:r>
          </w:p>
          <w:p w:rsidR="00A953A2" w:rsidRDefault="008710A8">
            <w:pPr>
              <w:pStyle w:val="Standard"/>
              <w:jc w:val="center"/>
            </w:pPr>
            <w:r>
              <w:rPr>
                <w:b/>
                <w:sz w:val="18"/>
                <w:szCs w:val="18"/>
              </w:rPr>
              <w:t xml:space="preserve"> (3 ECTS) </w:t>
            </w:r>
          </w:p>
          <w:p w:rsidR="00A953A2" w:rsidRDefault="00A953A2">
            <w:pPr>
              <w:pStyle w:val="Standard"/>
              <w:jc w:val="center"/>
            </w:pPr>
          </w:p>
        </w:tc>
        <w:tc>
          <w:tcPr>
            <w:tcW w:w="1872" w:type="dxa"/>
            <w:tcBorders>
              <w:top w:val="single" w:sz="4" w:space="0" w:color="000001"/>
              <w:left w:val="single" w:sz="4" w:space="0" w:color="000001"/>
            </w:tcBorders>
            <w:shd w:val="clear" w:color="auto" w:fill="FFFFFF"/>
            <w:tcMar>
              <w:top w:w="0" w:type="dxa"/>
              <w:left w:w="108" w:type="dxa"/>
              <w:bottom w:w="0" w:type="dxa"/>
              <w:right w:w="108" w:type="dxa"/>
            </w:tcMar>
          </w:tcPr>
          <w:p w:rsidR="00A953A2" w:rsidRDefault="00A953A2">
            <w:pPr>
              <w:pStyle w:val="Standard"/>
            </w:pPr>
          </w:p>
        </w:tc>
        <w:tc>
          <w:tcPr>
            <w:tcW w:w="1873" w:type="dxa"/>
            <w:gridSpan w:val="2"/>
            <w:tcBorders>
              <w:top w:val="single" w:sz="4" w:space="0" w:color="000001"/>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CF1</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de l’environnement et de l’énergie</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Piere-André</w:t>
            </w:r>
            <w:r>
              <w:rPr>
                <w:sz w:val="18"/>
                <w:szCs w:val="18"/>
              </w:rPr>
              <w:t xml:space="preserve"> Jouvet (U. Paris Ouest)</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CF2</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et politique de l’environnement</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 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Mathieu Glachant (MINES ParisTech)</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CF3</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Théories de la gestion sociale de l’environnement </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p w:rsidR="00A953A2" w:rsidRDefault="00A953A2">
            <w:pPr>
              <w:pStyle w:val="Standard"/>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Laurent Mermet (AgroParisTech ENGREF)</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CF4</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des ressources naturelles</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Vincent Martinet (INRA)</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CF5</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Economie du risque et de l’incertain </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p w:rsidR="00A953A2" w:rsidRDefault="00A953A2">
            <w:pPr>
              <w:pStyle w:val="Standard"/>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Meglena Jeleva (U. Paris Ouest Nanterre-La Défense)</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CF6</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Méthodes de prospective pour l’environnement</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Jean-Charles Hourcade</w:t>
            </w:r>
          </w:p>
          <w:p w:rsidR="00A953A2" w:rsidRDefault="008710A8">
            <w:pPr>
              <w:pStyle w:val="Standard"/>
            </w:pPr>
            <w:r>
              <w:rPr>
                <w:sz w:val="18"/>
                <w:szCs w:val="18"/>
              </w:rPr>
              <w:t>(CNRS, EHESS)</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CF7</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L’environnement et le développement </w:t>
            </w:r>
            <w:r>
              <w:rPr>
                <w:sz w:val="18"/>
                <w:szCs w:val="18"/>
              </w:rPr>
              <w:t>durable comme problèmes pour l’action collective</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Olivier Godard (CNRS)</w:t>
            </w:r>
          </w:p>
        </w:tc>
      </w:tr>
      <w:tr w:rsidR="00A953A2">
        <w:tblPrEx>
          <w:tblCellMar>
            <w:top w:w="0" w:type="dxa"/>
            <w:bottom w:w="0" w:type="dxa"/>
          </w:tblCellMar>
        </w:tblPrEx>
        <w:trPr>
          <w:trHeight w:val="23"/>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CF8*</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 xml:space="preserve">Econométrie </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lang w:val="en-US"/>
              </w:rPr>
              <w:t xml:space="preserve">Frédéric Lantz (IFP –School) </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lastRenderedPageBreak/>
              <w:t xml:space="preserve">COURS D’OUVERTURE </w:t>
            </w:r>
          </w:p>
          <w:p w:rsidR="00A953A2" w:rsidRDefault="008710A8">
            <w:pPr>
              <w:pStyle w:val="Standard"/>
              <w:jc w:val="center"/>
            </w:pPr>
            <w:r>
              <w:rPr>
                <w:b/>
                <w:sz w:val="18"/>
                <w:szCs w:val="18"/>
              </w:rPr>
              <w:t xml:space="preserve"> (1,5 ECTS)</w:t>
            </w:r>
          </w:p>
          <w:p w:rsidR="00A953A2" w:rsidRDefault="00A953A2">
            <w:pPr>
              <w:pStyle w:val="Standard"/>
              <w:jc w:val="center"/>
            </w:pPr>
          </w:p>
        </w:tc>
        <w:tc>
          <w:tcPr>
            <w:tcW w:w="1872" w:type="dxa"/>
            <w:tcBorders>
              <w:left w:val="single" w:sz="4" w:space="0" w:color="000001"/>
            </w:tcBorders>
            <w:shd w:val="clear" w:color="auto" w:fill="C2D69B"/>
            <w:tcMar>
              <w:top w:w="0" w:type="dxa"/>
              <w:left w:w="108" w:type="dxa"/>
              <w:bottom w:w="0" w:type="dxa"/>
              <w:right w:w="108" w:type="dxa"/>
            </w:tcMar>
          </w:tcPr>
          <w:p w:rsidR="00A953A2" w:rsidRDefault="00A953A2">
            <w:pPr>
              <w:pStyle w:val="Standard"/>
            </w:pPr>
          </w:p>
        </w:tc>
        <w:tc>
          <w:tcPr>
            <w:tcW w:w="1873" w:type="dxa"/>
            <w:gridSpan w:val="2"/>
            <w:shd w:val="clear" w:color="auto" w:fill="C2D69B"/>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CO1*</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Développement, pauvreté, environnement </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Jacques Weber (EHESS)</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CO2*</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 xml:space="preserve">Droit et </w:t>
            </w:r>
            <w:r>
              <w:rPr>
                <w:color w:val="000000"/>
                <w:sz w:val="18"/>
                <w:szCs w:val="18"/>
              </w:rPr>
              <w:t>développement durable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15h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Louis de Redon (AgroParisTech et U Paris V)</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CO3*</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Séminaire de négociation</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Marc Beretta (IFP-School)</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CO4*</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Géopolitique de l’énergie (ouverture)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Jean-Eudes Moncomble (Conseil Français de l'Energie), Sandro Furlan (ENI-CU)</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CO5*</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Droit des énergies renouvelables et de la ME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Fabrice Cassin (Cabinet CGR Legal) ; Laetitia Grammatico (CEA)</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CO6*</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Stratégie développement durable des entreprises</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Maia David (AgroParisTech)</w:t>
            </w:r>
          </w:p>
        </w:tc>
      </w:tr>
      <w:tr w:rsidR="00A953A2">
        <w:tblPrEx>
          <w:tblCellMar>
            <w:top w:w="0" w:type="dxa"/>
            <w:bottom w:w="0" w:type="dxa"/>
          </w:tblCellMar>
        </w:tblPrEx>
        <w:trPr>
          <w:trHeight w:val="170"/>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color w:val="000000"/>
                <w:sz w:val="18"/>
                <w:szCs w:val="18"/>
              </w:rPr>
              <w:t>CO7*</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color w:val="000000"/>
                <w:sz w:val="18"/>
                <w:szCs w:val="18"/>
              </w:rPr>
              <w:t>Ville et énergie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Catherine Baumont (Univ de</w:t>
            </w:r>
            <w:r>
              <w:rPr>
                <w:sz w:val="18"/>
                <w:szCs w:val="18"/>
              </w:rPr>
              <w:t xml:space="preserve"> Bourgogne)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COURS DE SPECIALISATION</w:t>
            </w:r>
          </w:p>
          <w:p w:rsidR="00A953A2" w:rsidRDefault="008710A8">
            <w:pPr>
              <w:pStyle w:val="Standard"/>
              <w:jc w:val="center"/>
            </w:pPr>
            <w:r>
              <w:rPr>
                <w:b/>
                <w:sz w:val="18"/>
                <w:szCs w:val="18"/>
              </w:rPr>
              <w:t xml:space="preserve"> (1,5 ECTS)</w:t>
            </w:r>
          </w:p>
          <w:p w:rsidR="00A953A2" w:rsidRDefault="00A953A2">
            <w:pPr>
              <w:pStyle w:val="Standard"/>
              <w:jc w:val="center"/>
            </w:pPr>
          </w:p>
        </w:tc>
        <w:tc>
          <w:tcPr>
            <w:tcW w:w="1872" w:type="dxa"/>
            <w:tcBorders>
              <w:left w:val="single" w:sz="4" w:space="0" w:color="000001"/>
            </w:tcBorders>
            <w:shd w:val="clear" w:color="auto" w:fill="C2D69B"/>
            <w:tcMar>
              <w:top w:w="0" w:type="dxa"/>
              <w:left w:w="108" w:type="dxa"/>
              <w:bottom w:w="0" w:type="dxa"/>
              <w:right w:w="108" w:type="dxa"/>
            </w:tcMar>
          </w:tcPr>
          <w:p w:rsidR="00A953A2" w:rsidRDefault="00A953A2">
            <w:pPr>
              <w:pStyle w:val="Standard"/>
            </w:pPr>
          </w:p>
        </w:tc>
        <w:tc>
          <w:tcPr>
            <w:tcW w:w="1873" w:type="dxa"/>
            <w:gridSpan w:val="2"/>
            <w:shd w:val="clear" w:color="auto" w:fill="C2D69B"/>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CS1</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et politique de l’eau</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Bernard Barraqué (CNRS et AgroParisTech)</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CS2*</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Calcul Economique (spécialisation)</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Alain Ayong le Kama (U. Paris Ouest)</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CS3*</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 xml:space="preserve">Développement durable et gestion </w:t>
            </w:r>
            <w:r>
              <w:rPr>
                <w:sz w:val="18"/>
                <w:szCs w:val="18"/>
              </w:rPr>
              <w:t>des entreprises</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 xml:space="preserve">Franck Aggeri (MINES ParisTech) </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CS4</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Environnement et commerce international</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Estelle Gozlan (INRA)</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CS5*</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Economie de la forêt et du bois</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Philippe Delacote (INRA-ENGREF)</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CS6</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Econométrie appliquée à </w:t>
            </w:r>
            <w:r>
              <w:rPr>
                <w:sz w:val="18"/>
                <w:szCs w:val="18"/>
              </w:rPr>
              <w:lastRenderedPageBreak/>
              <w:t>l’environnement</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lastRenderedPageBreak/>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Raja </w:t>
            </w:r>
            <w:r>
              <w:rPr>
                <w:sz w:val="18"/>
                <w:szCs w:val="18"/>
              </w:rPr>
              <w:t>Chakir (INRA)</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lastRenderedPageBreak/>
              <w:t>CS7</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Choix social et décisions collectives</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Jean-François Laslier et Eduardo Perez (CNRS et Ecole Polytechnique)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CS8</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publique appliquée à l’agriculture et à l’environnement</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Jean-Christophe Bureau</w:t>
            </w:r>
          </w:p>
          <w:p w:rsidR="00A953A2" w:rsidRDefault="008710A8">
            <w:pPr>
              <w:pStyle w:val="Standard"/>
            </w:pPr>
            <w:r>
              <w:rPr>
                <w:sz w:val="18"/>
                <w:szCs w:val="18"/>
              </w:rPr>
              <w:t>(AgroParisTech et CEPII)</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CS9*</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Economie industrielle et développement durable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Eric Giraud-Héraud et  Abdelhakim Hammoudi (Ecole Polytechnique et INRA)</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CS10*</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Economie du changement climatique</w:t>
            </w:r>
          </w:p>
          <w:p w:rsidR="00A953A2" w:rsidRDefault="00A953A2">
            <w:pPr>
              <w:pStyle w:val="Standard"/>
            </w:pP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Christian de Perthuis (Université Paris-Dauphine, Chaire Economie du Climat)</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CS11</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Pr="008710A8" w:rsidRDefault="008710A8">
            <w:pPr>
              <w:pStyle w:val="Standard"/>
              <w:rPr>
                <w:lang w:val="en-US"/>
              </w:rPr>
            </w:pPr>
            <w:r>
              <w:rPr>
                <w:sz w:val="18"/>
                <w:szCs w:val="18"/>
                <w:lang w:val="en-GB"/>
              </w:rPr>
              <w:t>Topics on the environment and economic development</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lang w:val="en-GB"/>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Eric Strobl (Ecole Polytechnique)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b/>
                <w:sz w:val="18"/>
                <w:szCs w:val="18"/>
              </w:rPr>
              <w:t>CS12</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Analyse coût-bénéfice des politiques environnementales et économie expérimentale</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Stéphane Marette (INRA) </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b/>
                <w:sz w:val="18"/>
                <w:szCs w:val="18"/>
              </w:rPr>
              <w:t>CS13</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 xml:space="preserve">Théorie des contrats appliquée au </w:t>
            </w:r>
            <w:r>
              <w:rPr>
                <w:sz w:val="18"/>
                <w:szCs w:val="18"/>
              </w:rPr>
              <w:t>développement durable</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Francis Bloch (Ecole Polytechnique) et Jean Marc Bourgeon (INRA et Ecole Polytechnique)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CS14</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Economie et politique environnementales appliquées</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Françoise Maurel, Christine Lagarenne et (Ministère de l’écologie)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CS15</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Finance </w:t>
            </w:r>
            <w:r>
              <w:rPr>
                <w:sz w:val="18"/>
                <w:szCs w:val="18"/>
              </w:rPr>
              <w:t>des matières premières</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Joël Priolon (AgroParisTech)</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CS16</w:t>
            </w:r>
          </w:p>
        </w:tc>
        <w:tc>
          <w:tcPr>
            <w:tcW w:w="187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Risques catastrophiques et marché d’assurance</w:t>
            </w:r>
          </w:p>
        </w:tc>
        <w:tc>
          <w:tcPr>
            <w:tcW w:w="1873"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Pierre Picard (Ecole Polytechnique)</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sz w:val="18"/>
                <w:szCs w:val="18"/>
              </w:rPr>
              <w:t>NP1*</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Analyse de la demande et de l’efficacité énergétique</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F. Bourriot, D. Bosseboeuf (INSTN)</w:t>
            </w:r>
          </w:p>
        </w:tc>
      </w:tr>
      <w:tr w:rsidR="00A953A2">
        <w:tblPrEx>
          <w:tblCellMar>
            <w:top w:w="0" w:type="dxa"/>
            <w:bottom w:w="0" w:type="dxa"/>
          </w:tblCellMar>
        </w:tblPrEx>
        <w:trPr>
          <w:trHeight w:val="57"/>
        </w:trPr>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NP4*</w:t>
            </w:r>
          </w:p>
        </w:tc>
        <w:tc>
          <w:tcPr>
            <w:tcW w:w="187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 xml:space="preserve">Economie de </w:t>
            </w:r>
            <w:r>
              <w:rPr>
                <w:sz w:val="18"/>
                <w:szCs w:val="18"/>
              </w:rPr>
              <w:lastRenderedPageBreak/>
              <w:t>l’environnement</w:t>
            </w:r>
          </w:p>
        </w:tc>
        <w:tc>
          <w:tcPr>
            <w:tcW w:w="1873"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lastRenderedPageBreak/>
              <w:t>20h</w:t>
            </w:r>
          </w:p>
        </w:tc>
        <w:tc>
          <w:tcPr>
            <w:tcW w:w="187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 xml:space="preserve">Gilles Rotillon (U. </w:t>
            </w:r>
            <w:r>
              <w:rPr>
                <w:sz w:val="18"/>
                <w:szCs w:val="18"/>
              </w:rPr>
              <w:lastRenderedPageBreak/>
              <w:t>Paris-Ouest)</w:t>
            </w:r>
          </w:p>
        </w:tc>
      </w:tr>
    </w:tbl>
    <w:p w:rsidR="00A953A2" w:rsidRDefault="00A953A2">
      <w:pPr>
        <w:pStyle w:val="Standard"/>
      </w:pPr>
    </w:p>
    <w:p w:rsidR="00A953A2" w:rsidRDefault="00A953A2">
      <w:pPr>
        <w:pStyle w:val="Standard"/>
      </w:pPr>
    </w:p>
    <w:p w:rsidR="00A953A2" w:rsidRDefault="00A953A2">
      <w:pPr>
        <w:pStyle w:val="Standard"/>
      </w:pPr>
    </w:p>
    <w:p w:rsidR="00A953A2" w:rsidRDefault="00A953A2">
      <w:pPr>
        <w:pStyle w:val="Standard"/>
      </w:pPr>
    </w:p>
    <w:p w:rsidR="00A953A2" w:rsidRDefault="00A953A2">
      <w:pPr>
        <w:pStyle w:val="Standard"/>
      </w:pPr>
    </w:p>
    <w:p w:rsidR="00A953A2" w:rsidRDefault="00A953A2">
      <w:pPr>
        <w:pStyle w:val="Standard"/>
      </w:pPr>
    </w:p>
    <w:tbl>
      <w:tblPr>
        <w:tblW w:w="0" w:type="auto"/>
        <w:tblInd w:w="-249"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521"/>
        <w:gridCol w:w="2521"/>
        <w:gridCol w:w="2522"/>
        <w:gridCol w:w="2521"/>
      </w:tblGrid>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COURS DE FORMATION A LA RECHERCHE</w:t>
            </w:r>
          </w:p>
          <w:p w:rsidR="00A953A2" w:rsidRDefault="008710A8">
            <w:pPr>
              <w:pStyle w:val="Standard"/>
              <w:jc w:val="center"/>
            </w:pPr>
            <w:r>
              <w:rPr>
                <w:b/>
                <w:sz w:val="18"/>
                <w:szCs w:val="18"/>
              </w:rPr>
              <w:t xml:space="preserve"> (3 ECTS)</w:t>
            </w:r>
          </w:p>
          <w:p w:rsidR="00A953A2" w:rsidRDefault="00A953A2">
            <w:pPr>
              <w:pStyle w:val="Standard"/>
              <w:jc w:val="center"/>
            </w:pPr>
          </w:p>
        </w:tc>
        <w:tc>
          <w:tcPr>
            <w:tcW w:w="2521" w:type="dxa"/>
            <w:tcBorders>
              <w:top w:val="single" w:sz="4" w:space="0" w:color="000001"/>
              <w:left w:val="single" w:sz="4" w:space="0" w:color="000001"/>
            </w:tcBorders>
            <w:shd w:val="clear" w:color="auto" w:fill="FFFFFF"/>
            <w:tcMar>
              <w:top w:w="0" w:type="dxa"/>
              <w:left w:w="108" w:type="dxa"/>
              <w:bottom w:w="0" w:type="dxa"/>
              <w:right w:w="108" w:type="dxa"/>
            </w:tcMar>
          </w:tcPr>
          <w:p w:rsidR="00A953A2" w:rsidRDefault="00A953A2">
            <w:pPr>
              <w:pStyle w:val="Standard"/>
            </w:pPr>
          </w:p>
        </w:tc>
        <w:tc>
          <w:tcPr>
            <w:tcW w:w="2522" w:type="dxa"/>
            <w:gridSpan w:val="2"/>
            <w:tcBorders>
              <w:top w:val="single" w:sz="4" w:space="0" w:color="000001"/>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b/>
                <w:sz w:val="18"/>
                <w:szCs w:val="18"/>
              </w:rPr>
              <w:t>CR1</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Négociation, participation du public et concertation dans le champ de l’environnement</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Laurent Mermet (AgroParisTech)</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b/>
                <w:sz w:val="18"/>
                <w:szCs w:val="18"/>
              </w:rPr>
              <w:t>CR2</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Méthodes de l’économie quantitative : applications au secteur agricole et à  l’environnement</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spacing w:before="60" w:after="60"/>
            </w:pPr>
            <w:r>
              <w:rPr>
                <w:sz w:val="18"/>
                <w:szCs w:val="18"/>
              </w:rPr>
              <w:t>Pierre-Alain Jayet (INRA) et Stéphane De Cara (INRA)</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CR3</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Outils mathématiques pour la modélisation de l’environnement</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Luc Doyen (CNRS) et Michel de Lara </w:t>
            </w:r>
            <w:r>
              <w:rPr>
                <w:sz w:val="18"/>
                <w:szCs w:val="18"/>
              </w:rPr>
              <w:t>(Ecole des Ponts ParisTech)</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CR4</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Théories, pratiques et enjeux de l’évaluation économique de l’eau et des milieux naturels</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Yann Laurans (Ecowhat)</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CR5</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Responsabilités environnementales et sociale des entreprises</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 xml:space="preserve">Patricia Crifo (U. Paris Ouest </w:t>
            </w:r>
            <w:r>
              <w:rPr>
                <w:sz w:val="18"/>
                <w:szCs w:val="18"/>
              </w:rPr>
              <w:t>Nanterre) et Jean-Pierre Ponssard (Ecole Polytechnique)</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CR6</w:t>
            </w:r>
          </w:p>
        </w:tc>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Introduction à la modélisation en équilibre général calculable</w:t>
            </w:r>
          </w:p>
        </w:tc>
        <w:tc>
          <w:tcPr>
            <w:tcW w:w="2522"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sz w:val="18"/>
                <w:szCs w:val="18"/>
              </w:rPr>
              <w:t>15h</w:t>
            </w:r>
          </w:p>
        </w:tc>
        <w:tc>
          <w:tcPr>
            <w:tcW w:w="2521" w:type="dxa"/>
            <w:tcBorders>
              <w:top w:val="single" w:sz="4" w:space="0" w:color="000001"/>
              <w:left w:val="single" w:sz="4" w:space="0" w:color="000001"/>
              <w:bottom w:val="single" w:sz="4" w:space="0" w:color="000001"/>
              <w:right w:val="single" w:sz="4" w:space="0" w:color="000001"/>
            </w:tcBorders>
            <w:shd w:val="clear" w:color="auto" w:fill="C2D69B"/>
            <w:tcMar>
              <w:top w:w="0" w:type="dxa"/>
              <w:left w:w="108" w:type="dxa"/>
              <w:bottom w:w="0" w:type="dxa"/>
              <w:right w:w="108" w:type="dxa"/>
            </w:tcMar>
          </w:tcPr>
          <w:p w:rsidR="00A953A2" w:rsidRDefault="008710A8">
            <w:pPr>
              <w:pStyle w:val="Standard"/>
            </w:pPr>
            <w:r>
              <w:rPr>
                <w:sz w:val="18"/>
                <w:szCs w:val="18"/>
              </w:rPr>
              <w:t>Antoine Bouët (IFPRI) et Jean Fouré (CEPII)</w:t>
            </w: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C2D69B"/>
            <w:tcMar>
              <w:top w:w="0" w:type="dxa"/>
              <w:left w:w="108" w:type="dxa"/>
              <w:bottom w:w="0" w:type="dxa"/>
              <w:right w:w="108" w:type="dxa"/>
            </w:tcMar>
          </w:tcPr>
          <w:p w:rsidR="00A953A2" w:rsidRDefault="008710A8">
            <w:pPr>
              <w:pStyle w:val="Standard"/>
              <w:jc w:val="center"/>
            </w:pPr>
            <w:r>
              <w:rPr>
                <w:b/>
                <w:sz w:val="18"/>
                <w:szCs w:val="18"/>
              </w:rPr>
              <w:t>LANGUE VIVANTE</w:t>
            </w:r>
          </w:p>
          <w:p w:rsidR="00A953A2" w:rsidRDefault="008710A8">
            <w:pPr>
              <w:pStyle w:val="Standard"/>
              <w:jc w:val="center"/>
            </w:pPr>
            <w:r>
              <w:rPr>
                <w:b/>
                <w:sz w:val="18"/>
                <w:szCs w:val="18"/>
              </w:rPr>
              <w:t xml:space="preserve">UE </w:t>
            </w:r>
            <w:r>
              <w:rPr>
                <w:rFonts w:ascii="Trebuchet MS" w:hAnsi="Trebuchet MS"/>
                <w:b/>
                <w:sz w:val="18"/>
                <w:szCs w:val="18"/>
              </w:rPr>
              <w:t>« Langue vivante »</w:t>
            </w:r>
            <w:r>
              <w:rPr>
                <w:rFonts w:ascii="Trebuchet MS" w:hAnsi="Trebuchet MS"/>
                <w:sz w:val="18"/>
                <w:szCs w:val="18"/>
              </w:rPr>
              <w:t xml:space="preserve"> = </w:t>
            </w:r>
            <w:r>
              <w:rPr>
                <w:b/>
                <w:sz w:val="18"/>
                <w:szCs w:val="18"/>
              </w:rPr>
              <w:t xml:space="preserve">1 obligatoire </w:t>
            </w:r>
          </w:p>
          <w:p w:rsidR="00A953A2" w:rsidRDefault="008710A8">
            <w:pPr>
              <w:pStyle w:val="Standard"/>
              <w:jc w:val="center"/>
            </w:pPr>
            <w:r>
              <w:rPr>
                <w:b/>
                <w:sz w:val="18"/>
                <w:szCs w:val="18"/>
              </w:rPr>
              <w:t>(3 ECTS)</w:t>
            </w:r>
          </w:p>
          <w:p w:rsidR="00A953A2" w:rsidRDefault="00A953A2">
            <w:pPr>
              <w:pStyle w:val="Standard"/>
              <w:jc w:val="center"/>
            </w:pPr>
          </w:p>
        </w:tc>
        <w:tc>
          <w:tcPr>
            <w:tcW w:w="2521" w:type="dxa"/>
            <w:tcBorders>
              <w:left w:val="single" w:sz="4" w:space="0" w:color="000001"/>
            </w:tcBorders>
            <w:shd w:val="clear" w:color="auto" w:fill="FFFFFF"/>
            <w:tcMar>
              <w:top w:w="0" w:type="dxa"/>
              <w:left w:w="108" w:type="dxa"/>
              <w:bottom w:w="0" w:type="dxa"/>
              <w:right w:w="108" w:type="dxa"/>
            </w:tcMar>
          </w:tcPr>
          <w:p w:rsidR="00A953A2" w:rsidRDefault="00A953A2">
            <w:pPr>
              <w:pStyle w:val="Standard"/>
            </w:pPr>
          </w:p>
        </w:tc>
        <w:tc>
          <w:tcPr>
            <w:tcW w:w="2522" w:type="dxa"/>
            <w:gridSpan w:val="2"/>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283"/>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sz w:val="18"/>
                <w:szCs w:val="18"/>
              </w:rPr>
              <w:t>LV1*</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Anglais</w:t>
            </w:r>
          </w:p>
        </w:tc>
        <w:tc>
          <w:tcPr>
            <w:tcW w:w="252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sz w:val="18"/>
                <w:szCs w:val="18"/>
              </w:rPr>
              <w:t>30h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Yvonne Raemdonck (IFP School)</w:t>
            </w:r>
          </w:p>
        </w:tc>
      </w:tr>
    </w:tbl>
    <w:p w:rsidR="00A953A2" w:rsidRDefault="00A953A2">
      <w:pPr>
        <w:pStyle w:val="Standard"/>
      </w:pPr>
    </w:p>
    <w:p w:rsidR="00A953A2" w:rsidRDefault="008710A8">
      <w:pPr>
        <w:pStyle w:val="Standard"/>
      </w:pPr>
      <w:r>
        <w:t>Annexe-Cours de M2</w:t>
      </w:r>
    </w:p>
    <w:p w:rsidR="00A953A2" w:rsidRDefault="008710A8">
      <w:pPr>
        <w:pStyle w:val="Standard"/>
      </w:pPr>
      <w:r>
        <w:lastRenderedPageBreak/>
        <w:t>Parcours Energie</w:t>
      </w:r>
    </w:p>
    <w:p w:rsidR="00A953A2" w:rsidRDefault="00A953A2">
      <w:pPr>
        <w:pStyle w:val="Standard"/>
        <w:jc w:val="center"/>
      </w:pPr>
    </w:p>
    <w:tbl>
      <w:tblPr>
        <w:tblW w:w="0" w:type="auto"/>
        <w:tblInd w:w="-26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521"/>
        <w:gridCol w:w="2521"/>
        <w:gridCol w:w="2521"/>
        <w:gridCol w:w="2521"/>
      </w:tblGrid>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COURS FONDAMENTAUX</w:t>
            </w:r>
          </w:p>
          <w:p w:rsidR="00A953A2" w:rsidRDefault="008710A8">
            <w:pPr>
              <w:pStyle w:val="Standard"/>
              <w:jc w:val="center"/>
            </w:pPr>
            <w:r>
              <w:rPr>
                <w:b/>
                <w:sz w:val="18"/>
                <w:szCs w:val="18"/>
              </w:rPr>
              <w:t xml:space="preserve"> (3 ECTS) </w:t>
            </w:r>
          </w:p>
          <w:p w:rsidR="00A953A2" w:rsidRDefault="00A953A2">
            <w:pPr>
              <w:pStyle w:val="Standard"/>
              <w:jc w:val="center"/>
            </w:pPr>
          </w:p>
        </w:tc>
        <w:tc>
          <w:tcPr>
            <w:tcW w:w="2521" w:type="dxa"/>
            <w:tcBorders>
              <w:top w:val="single" w:sz="4" w:space="0" w:color="000001"/>
              <w:left w:val="single" w:sz="4" w:space="0" w:color="000001"/>
            </w:tcBorders>
            <w:shd w:val="clear" w:color="auto" w:fill="FFFFFF"/>
            <w:tcMar>
              <w:top w:w="0" w:type="dxa"/>
              <w:left w:w="108" w:type="dxa"/>
              <w:bottom w:w="0" w:type="dxa"/>
              <w:right w:w="108" w:type="dxa"/>
            </w:tcMar>
          </w:tcPr>
          <w:p w:rsidR="00A953A2" w:rsidRDefault="00A953A2">
            <w:pPr>
              <w:pStyle w:val="Standard"/>
            </w:pPr>
          </w:p>
        </w:tc>
        <w:tc>
          <w:tcPr>
            <w:tcW w:w="2521" w:type="dxa"/>
            <w:gridSpan w:val="2"/>
            <w:tcBorders>
              <w:top w:val="single" w:sz="4" w:space="0" w:color="000001"/>
            </w:tcBorders>
            <w:shd w:val="clear" w:color="auto" w:fill="FFFFFF"/>
            <w:tcMar>
              <w:top w:w="0" w:type="dxa"/>
              <w:left w:w="108" w:type="dxa"/>
              <w:bottom w:w="0" w:type="dxa"/>
              <w:right w:w="108" w:type="dxa"/>
            </w:tcMar>
          </w:tcPr>
          <w:p w:rsidR="00A953A2" w:rsidRDefault="00A953A2">
            <w:pPr>
              <w:pStyle w:val="Standard"/>
            </w:pPr>
          </w:p>
        </w:tc>
      </w:tr>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NF1</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Géopolitique de l’énergie (</w:t>
            </w:r>
            <w:proofErr w:type="gramStart"/>
            <w:r>
              <w:rPr>
                <w:sz w:val="18"/>
                <w:szCs w:val="18"/>
              </w:rPr>
              <w:t>fondamental</w:t>
            </w:r>
            <w:proofErr w:type="gramEnd"/>
            <w:r>
              <w:rPr>
                <w:sz w:val="18"/>
                <w:szCs w:val="18"/>
              </w:rPr>
              <w:t>)</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Jean-Pierre Favennec (IFP-School), Henri Baguenier (U. Paris-Ouest)</w:t>
            </w:r>
          </w:p>
        </w:tc>
      </w:tr>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bCs/>
                <w:sz w:val="18"/>
                <w:szCs w:val="18"/>
              </w:rPr>
              <w:t>NF2</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 xml:space="preserve">Économie industrielle de </w:t>
            </w:r>
            <w:r>
              <w:rPr>
                <w:sz w:val="18"/>
                <w:szCs w:val="18"/>
              </w:rPr>
              <w:t>l’énergie</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Jacques Percebois (U. Montpellier), Anna Creti (U. Paris Ouest-Nanterre La Défense) ; Benoit Esnault (Commission Régulation Energie)</w:t>
            </w:r>
          </w:p>
        </w:tc>
      </w:tr>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NF3</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Analyse des filières énergétiques</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40h</w:t>
            </w:r>
          </w:p>
        </w:tc>
        <w:tc>
          <w:tcPr>
            <w:tcW w:w="2521"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 xml:space="preserve">Nadine Bret-Rouzaut (IFP-School), Bernard Bonin (CEA), Jean-Guy </w:t>
            </w:r>
            <w:r>
              <w:rPr>
                <w:sz w:val="18"/>
                <w:szCs w:val="18"/>
              </w:rPr>
              <w:t>Devezaux (CEA), Olivier Massol (IFP-School) ; François Neirac (Mines Paristech)</w:t>
            </w:r>
          </w:p>
        </w:tc>
      </w:tr>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CF8*</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Econométrie</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Frédéric Lantz (IFP-School)</w:t>
            </w:r>
          </w:p>
        </w:tc>
      </w:tr>
      <w:tr w:rsidR="00A953A2">
        <w:tblPrEx>
          <w:tblCellMar>
            <w:top w:w="0" w:type="dxa"/>
            <w:bottom w:w="0" w:type="dxa"/>
          </w:tblCellMar>
        </w:tblPrEx>
        <w:trPr>
          <w:trHeight w:val="23"/>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CS2*</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Calcul économique (fondamental)</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Franck Bancel (ESCP-Europe), Nathalie Popiolek (CEA)</w:t>
            </w:r>
          </w:p>
        </w:tc>
      </w:tr>
    </w:tbl>
    <w:p w:rsidR="00A953A2" w:rsidRDefault="00A953A2">
      <w:pPr>
        <w:pStyle w:val="Standard"/>
      </w:pPr>
    </w:p>
    <w:tbl>
      <w:tblPr>
        <w:tblW w:w="0" w:type="auto"/>
        <w:tblInd w:w="-25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521"/>
        <w:gridCol w:w="2521"/>
        <w:gridCol w:w="2522"/>
        <w:gridCol w:w="2521"/>
      </w:tblGrid>
      <w:tr w:rsidR="00A953A2">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 xml:space="preserve">COURS OPTIONNELS </w:t>
            </w:r>
          </w:p>
          <w:p w:rsidR="00A953A2" w:rsidRDefault="008710A8">
            <w:pPr>
              <w:pStyle w:val="Standard"/>
              <w:jc w:val="center"/>
            </w:pPr>
            <w:r>
              <w:rPr>
                <w:b/>
                <w:sz w:val="18"/>
                <w:szCs w:val="18"/>
              </w:rPr>
              <w:t xml:space="preserve">(1,5 ECTS) </w:t>
            </w:r>
          </w:p>
          <w:p w:rsidR="00A953A2" w:rsidRDefault="00A953A2">
            <w:pPr>
              <w:pStyle w:val="Standard"/>
            </w:pPr>
          </w:p>
        </w:tc>
        <w:tc>
          <w:tcPr>
            <w:tcW w:w="2521" w:type="dxa"/>
            <w:tcBorders>
              <w:top w:val="single" w:sz="4" w:space="0" w:color="000001"/>
              <w:left w:val="single" w:sz="4" w:space="0" w:color="000001"/>
            </w:tcBorders>
            <w:shd w:val="clear" w:color="auto" w:fill="FFFFFF"/>
            <w:tcMar>
              <w:top w:w="0" w:type="dxa"/>
              <w:left w:w="108" w:type="dxa"/>
              <w:bottom w:w="0" w:type="dxa"/>
              <w:right w:w="108" w:type="dxa"/>
            </w:tcMar>
          </w:tcPr>
          <w:p w:rsidR="00A953A2" w:rsidRDefault="00A953A2">
            <w:pPr>
              <w:pStyle w:val="Standard"/>
            </w:pPr>
          </w:p>
        </w:tc>
        <w:tc>
          <w:tcPr>
            <w:tcW w:w="2522" w:type="dxa"/>
            <w:gridSpan w:val="2"/>
            <w:tcBorders>
              <w:top w:val="single" w:sz="4" w:space="0" w:color="000001"/>
            </w:tcBorders>
            <w:shd w:val="clear" w:color="auto" w:fill="FFFFFF"/>
            <w:tcMar>
              <w:top w:w="0" w:type="dxa"/>
              <w:left w:w="108" w:type="dxa"/>
              <w:bottom w:w="0" w:type="dxa"/>
              <w:right w:w="108" w:type="dxa"/>
            </w:tcMar>
          </w:tcPr>
          <w:p w:rsidR="00A953A2" w:rsidRDefault="00A953A2">
            <w:pPr>
              <w:pStyle w:val="Standard"/>
            </w:pPr>
          </w:p>
        </w:tc>
      </w:tr>
      <w:tr w:rsidR="00A953A2" w:rsidRPr="008710A8">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b/>
                <w:sz w:val="18"/>
                <w:szCs w:val="18"/>
              </w:rPr>
              <w:t>NP1*</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pPr>
            <w:r>
              <w:rPr>
                <w:sz w:val="18"/>
                <w:szCs w:val="18"/>
              </w:rPr>
              <w:t>Analyse de la demande et de l’efficacité énergétique</w:t>
            </w:r>
          </w:p>
        </w:tc>
        <w:tc>
          <w:tcPr>
            <w:tcW w:w="252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Pr="008710A8" w:rsidRDefault="008710A8">
            <w:pPr>
              <w:pStyle w:val="Standard"/>
              <w:spacing w:before="60" w:after="60"/>
              <w:rPr>
                <w:lang w:val="en-US"/>
              </w:rPr>
            </w:pPr>
            <w:r>
              <w:rPr>
                <w:sz w:val="18"/>
                <w:szCs w:val="18"/>
                <w:lang w:val="en-GB"/>
              </w:rPr>
              <w:t>F. Bourriot (Ceren), D. Bosseboeuf (Ademe)</w:t>
            </w:r>
          </w:p>
        </w:tc>
      </w:tr>
      <w:tr w:rsidR="00A953A2" w:rsidRPr="008710A8">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NP2*</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Analyse des marchés de l’énergie</w:t>
            </w:r>
          </w:p>
        </w:tc>
        <w:tc>
          <w:tcPr>
            <w:tcW w:w="252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Pr="008710A8" w:rsidRDefault="008710A8">
            <w:pPr>
              <w:pStyle w:val="Standard"/>
              <w:rPr>
                <w:lang w:val="en-US"/>
              </w:rPr>
            </w:pPr>
            <w:r>
              <w:rPr>
                <w:sz w:val="18"/>
                <w:szCs w:val="18"/>
                <w:lang w:val="en-GB"/>
              </w:rPr>
              <w:t>Philippe Girard (Goldman-Sachs), Emmanuel Hache (IFP-School)</w:t>
            </w:r>
          </w:p>
        </w:tc>
      </w:tr>
      <w:tr w:rsidR="00A953A2">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NP3</w:t>
            </w:r>
          </w:p>
        </w:tc>
        <w:tc>
          <w:tcPr>
            <w:tcW w:w="2521"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Optimisation appliquée à l’énergie</w:t>
            </w:r>
          </w:p>
        </w:tc>
        <w:tc>
          <w:tcPr>
            <w:tcW w:w="252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Frédéric Lantz (IFP-School)</w:t>
            </w:r>
          </w:p>
        </w:tc>
      </w:tr>
      <w:tr w:rsidR="00A953A2">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NP4*</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Economie de l’environnement</w:t>
            </w:r>
          </w:p>
        </w:tc>
        <w:tc>
          <w:tcPr>
            <w:tcW w:w="252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Gilles Rotillon (U. Paris-Ouest)</w:t>
            </w:r>
          </w:p>
        </w:tc>
      </w:tr>
      <w:tr w:rsidR="00A953A2">
        <w:tblPrEx>
          <w:tblCellMar>
            <w:top w:w="0" w:type="dxa"/>
            <w:bottom w:w="0" w:type="dxa"/>
          </w:tblCellMar>
        </w:tblPrEx>
        <w:trPr>
          <w:trHeight w:val="57"/>
        </w:trPr>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b/>
                <w:sz w:val="18"/>
                <w:szCs w:val="18"/>
              </w:rPr>
              <w:t>CS10*</w:t>
            </w:r>
          </w:p>
        </w:tc>
        <w:tc>
          <w:tcPr>
            <w:tcW w:w="2521"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Economie du changement climatique</w:t>
            </w:r>
          </w:p>
          <w:p w:rsidR="00A953A2" w:rsidRDefault="00A953A2">
            <w:pPr>
              <w:pStyle w:val="Standard"/>
            </w:pPr>
          </w:p>
        </w:tc>
        <w:tc>
          <w:tcPr>
            <w:tcW w:w="2522"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A953A2" w:rsidRDefault="008710A8">
            <w:pPr>
              <w:pStyle w:val="Standard"/>
              <w:jc w:val="center"/>
            </w:pPr>
            <w:r>
              <w:rPr>
                <w:sz w:val="18"/>
                <w:szCs w:val="18"/>
              </w:rPr>
              <w:t>20h</w:t>
            </w:r>
          </w:p>
        </w:tc>
        <w:tc>
          <w:tcPr>
            <w:tcW w:w="252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A953A2" w:rsidRDefault="008710A8">
            <w:pPr>
              <w:pStyle w:val="Standard"/>
            </w:pPr>
            <w:r>
              <w:rPr>
                <w:sz w:val="18"/>
                <w:szCs w:val="18"/>
              </w:rPr>
              <w:t>Christian de Perthuis (Université Paris-Dauphine, Chaire Economie du Climat)</w:t>
            </w:r>
          </w:p>
        </w:tc>
      </w:tr>
    </w:tbl>
    <w:p w:rsidR="00A953A2" w:rsidRDefault="00A953A2">
      <w:pPr>
        <w:pStyle w:val="Standard"/>
      </w:pPr>
    </w:p>
    <w:tbl>
      <w:tblPr>
        <w:tblW w:w="0" w:type="auto"/>
        <w:tblInd w:w="-156"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2"/>
        <w:gridCol w:w="1241"/>
        <w:gridCol w:w="613"/>
        <w:gridCol w:w="1246"/>
      </w:tblGrid>
      <w:tr w:rsidR="00A953A2">
        <w:tblPrEx>
          <w:tblCellMar>
            <w:top w:w="0" w:type="dxa"/>
            <w:bottom w:w="0" w:type="dxa"/>
          </w:tblCellMar>
        </w:tblPrEx>
        <w:trPr>
          <w:trHeight w:val="283"/>
        </w:trPr>
        <w:tc>
          <w:tcPr>
            <w:tcW w:w="612" w:type="dxa"/>
            <w:gridSpan w:val="4"/>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lastRenderedPageBreak/>
              <w:t xml:space="preserve">COURS DE FORMATION A LA </w:t>
            </w:r>
            <w:r>
              <w:rPr>
                <w:b/>
                <w:sz w:val="18"/>
                <w:szCs w:val="18"/>
              </w:rPr>
              <w:t>RECHERCHE</w:t>
            </w:r>
          </w:p>
          <w:p w:rsidR="00A953A2" w:rsidRDefault="008710A8">
            <w:pPr>
              <w:pStyle w:val="Standard"/>
              <w:jc w:val="center"/>
            </w:pPr>
            <w:r>
              <w:rPr>
                <w:b/>
                <w:sz w:val="18"/>
                <w:szCs w:val="18"/>
              </w:rPr>
              <w:t xml:space="preserve"> (3 ECTS) </w:t>
            </w:r>
          </w:p>
          <w:p w:rsidR="00A953A2" w:rsidRDefault="00A953A2">
            <w:pPr>
              <w:pStyle w:val="Standard"/>
              <w:jc w:val="center"/>
            </w:pP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b/>
                <w:sz w:val="18"/>
                <w:szCs w:val="18"/>
              </w:rPr>
              <w:t>NR1</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Analyse des stratégies des compagnies du secteur de l’énergie</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Dominique Finon (Cired), Laurent David (Gdf-Suez)</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b/>
                <w:sz w:val="18"/>
                <w:szCs w:val="18"/>
              </w:rPr>
              <w:t>NR2</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Calcul économique approfondi et financement des compagnies énergétiques</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 xml:space="preserve">Michel de Lara </w:t>
            </w:r>
            <w:r>
              <w:rPr>
                <w:sz w:val="18"/>
                <w:szCs w:val="18"/>
              </w:rPr>
              <w:t>(Ponts-ParisTech), Sylvain Sarda (Natixis)</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NR3</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Mesures de performances, fonctions frontières appliquées à l’énergie</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Léopold Simar (U. Louvain-la-Neuve)</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NR4</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Modélisation de l’énergie</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Jean-Pierre Indjehagopian (Essec), Norbert Ladoux (U. Toulouse)</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NR5</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Energie et climat : économie du changement global</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lang w:val="en-US"/>
              </w:rPr>
              <w:t>Nidhal Ouerfelli (INSTN) ; Emeric Fortin (Ponts Paristech) ; Tancrède Voituriez (Science Po/IDDRI)</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NR6</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Prospective énergétique et géopolitique Nord-Sud</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Patrick Criqui (</w:t>
            </w:r>
            <w:r>
              <w:rPr>
                <w:rStyle w:val="Accentuation"/>
                <w:sz w:val="18"/>
                <w:szCs w:val="18"/>
              </w:rPr>
              <w:t>U.PMF Grenoble</w:t>
            </w:r>
            <w:r>
              <w:rPr>
                <w:i/>
                <w:sz w:val="18"/>
                <w:szCs w:val="18"/>
              </w:rPr>
              <w:t xml:space="preserve">) ; </w:t>
            </w:r>
            <w:r>
              <w:rPr>
                <w:sz w:val="18"/>
                <w:szCs w:val="18"/>
              </w:rPr>
              <w:t xml:space="preserve">Nadia </w:t>
            </w:r>
            <w:r>
              <w:rPr>
                <w:sz w:val="18"/>
                <w:szCs w:val="18"/>
              </w:rPr>
              <w:t>Maïzi (Mines Paristech)</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NR7</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Réseaux électriques et stockage de l’énergie – smart Grid, Super grid</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X. Le Pivers (CEA/INES) ; Ph. Mignon (RTE)</w:t>
            </w:r>
          </w:p>
        </w:tc>
      </w:tr>
      <w:tr w:rsidR="00A953A2">
        <w:tblPrEx>
          <w:tblCellMar>
            <w:top w:w="0" w:type="dxa"/>
            <w:bottom w:w="0" w:type="dxa"/>
          </w:tblCellMar>
        </w:tblPrEx>
        <w:trPr>
          <w:trHeight w:val="283"/>
        </w:trPr>
        <w:tc>
          <w:tcPr>
            <w:tcW w:w="612"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lastRenderedPageBreak/>
              <w:t>NR8</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Analyse technico-économique des filières énergies renouvelables</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Robert Soler (EDF) ; Nidhal Ouerfelli</w:t>
            </w:r>
            <w:r>
              <w:rPr>
                <w:sz w:val="18"/>
                <w:szCs w:val="18"/>
              </w:rPr>
              <w:t xml:space="preserve"> (INSTN)</w:t>
            </w:r>
          </w:p>
        </w:tc>
      </w:tr>
    </w:tbl>
    <w:p w:rsidR="00A953A2" w:rsidRDefault="00A953A2">
      <w:pPr>
        <w:pStyle w:val="Standard"/>
      </w:pPr>
    </w:p>
    <w:tbl>
      <w:tblPr>
        <w:tblW w:w="0" w:type="auto"/>
        <w:tblInd w:w="-156"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66"/>
        <w:gridCol w:w="1401"/>
        <w:gridCol w:w="613"/>
        <w:gridCol w:w="1426"/>
      </w:tblGrid>
      <w:tr w:rsidR="00A953A2">
        <w:tblPrEx>
          <w:tblCellMar>
            <w:top w:w="0" w:type="dxa"/>
            <w:bottom w:w="0" w:type="dxa"/>
          </w:tblCellMar>
        </w:tblPrEx>
        <w:trPr>
          <w:trHeight w:val="170"/>
        </w:trPr>
        <w:tc>
          <w:tcPr>
            <w:tcW w:w="612" w:type="dxa"/>
            <w:gridSpan w:val="4"/>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 xml:space="preserve">COURS D’OUVERTURE </w:t>
            </w:r>
          </w:p>
          <w:p w:rsidR="00A953A2" w:rsidRDefault="008710A8">
            <w:pPr>
              <w:pStyle w:val="Standard"/>
              <w:jc w:val="center"/>
            </w:pPr>
            <w:r>
              <w:rPr>
                <w:b/>
                <w:sz w:val="18"/>
                <w:szCs w:val="18"/>
              </w:rPr>
              <w:t xml:space="preserve"> (1,5 ECTS) </w:t>
            </w:r>
          </w:p>
          <w:p w:rsidR="00A953A2" w:rsidRDefault="00A953A2">
            <w:pPr>
              <w:pStyle w:val="Standard"/>
              <w:jc w:val="center"/>
            </w:pP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jc w:val="center"/>
            </w:pPr>
            <w:r>
              <w:rPr>
                <w:b/>
                <w:color w:val="000000"/>
                <w:sz w:val="18"/>
                <w:szCs w:val="18"/>
              </w:rPr>
              <w:t>CO1*</w:t>
            </w:r>
          </w:p>
        </w:tc>
        <w:tc>
          <w:tcPr>
            <w:tcW w:w="613"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pPr>
            <w:r>
              <w:rPr>
                <w:color w:val="000000"/>
                <w:sz w:val="18"/>
                <w:szCs w:val="18"/>
              </w:rPr>
              <w:t>Développement, pauvreté, environnement : usage des ressources et usage des richesses</w:t>
            </w:r>
          </w:p>
        </w:tc>
        <w:tc>
          <w:tcPr>
            <w:tcW w:w="613"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jc w:val="center"/>
            </w:pPr>
            <w:r>
              <w:rPr>
                <w:color w:val="000000"/>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pPr>
            <w:r>
              <w:rPr>
                <w:color w:val="000000"/>
                <w:sz w:val="18"/>
                <w:szCs w:val="18"/>
              </w:rPr>
              <w:t>Jacques Weber (EHESS)</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jc w:val="center"/>
            </w:pPr>
            <w:r>
              <w:rPr>
                <w:b/>
                <w:color w:val="000000"/>
                <w:sz w:val="18"/>
                <w:szCs w:val="18"/>
              </w:rPr>
              <w:t>CO2*</w:t>
            </w:r>
          </w:p>
        </w:tc>
        <w:tc>
          <w:tcPr>
            <w:tcW w:w="613"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pPr>
            <w:r>
              <w:rPr>
                <w:color w:val="000000"/>
                <w:sz w:val="18"/>
                <w:szCs w:val="18"/>
              </w:rPr>
              <w:t>Droit et développement durable</w:t>
            </w:r>
          </w:p>
        </w:tc>
        <w:tc>
          <w:tcPr>
            <w:tcW w:w="613"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jc w:val="center"/>
            </w:pPr>
            <w:r>
              <w:rPr>
                <w:color w:val="000000"/>
                <w:sz w:val="18"/>
                <w:szCs w:val="18"/>
              </w:rPr>
              <w:t>15h</w:t>
            </w:r>
          </w:p>
        </w:tc>
        <w:tc>
          <w:tcPr>
            <w:tcW w:w="613"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A953A2" w:rsidRDefault="008710A8">
            <w:pPr>
              <w:pStyle w:val="Standard"/>
              <w:spacing w:before="60" w:after="60"/>
            </w:pPr>
            <w:r>
              <w:rPr>
                <w:color w:val="000000"/>
                <w:sz w:val="18"/>
                <w:szCs w:val="18"/>
              </w:rPr>
              <w:t>Louis de Redon (AgroParisTech et U Paris V)</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b/>
                <w:color w:val="000000"/>
                <w:sz w:val="18"/>
                <w:szCs w:val="18"/>
              </w:rPr>
              <w:t>CO3*</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Séminaire de négociation</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61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Marc Beretta (IFP Energies Nouvelles)</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b/>
                <w:color w:val="000000"/>
                <w:sz w:val="18"/>
                <w:szCs w:val="18"/>
              </w:rPr>
              <w:t>CO4*</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Géopolitique de l’énergie</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61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Jean-Eudes Moncomble (Conseil Français de l’Energie), Sandro Furlan (ENI-CU)</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b/>
                <w:color w:val="000000"/>
                <w:sz w:val="18"/>
                <w:szCs w:val="18"/>
              </w:rPr>
              <w:t>CO5*</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Droit des énergies renouvelables et de la ME</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61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 xml:space="preserve">Fabrice Cassin </w:t>
            </w:r>
            <w:r>
              <w:rPr>
                <w:color w:val="000000"/>
                <w:sz w:val="18"/>
                <w:szCs w:val="18"/>
              </w:rPr>
              <w:t>(Cabinet CGR Legal) ; Laetitia Grammatico (CEA)</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b/>
                <w:color w:val="000000"/>
                <w:sz w:val="18"/>
                <w:szCs w:val="18"/>
              </w:rPr>
              <w:t>CO6*</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Stratégie développement durable des entreprises</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color w:val="000000"/>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sz w:val="18"/>
                <w:szCs w:val="18"/>
              </w:rPr>
              <w:t>Maia David (AgroParisTech)</w:t>
            </w:r>
          </w:p>
        </w:tc>
      </w:tr>
      <w:tr w:rsidR="00A953A2">
        <w:tblPrEx>
          <w:tblCellMar>
            <w:top w:w="0" w:type="dxa"/>
            <w:bottom w:w="0" w:type="dxa"/>
          </w:tblCellMar>
        </w:tblPrEx>
        <w:trPr>
          <w:trHeight w:val="170"/>
        </w:trPr>
        <w:tc>
          <w:tcPr>
            <w:tcW w:w="612"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b/>
                <w:color w:val="000000"/>
                <w:sz w:val="18"/>
                <w:szCs w:val="18"/>
              </w:rPr>
              <w:t>CO7*</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color w:val="000000"/>
                <w:sz w:val="18"/>
                <w:szCs w:val="18"/>
              </w:rPr>
              <w:t>Ville et énergie</w:t>
            </w:r>
          </w:p>
        </w:tc>
        <w:tc>
          <w:tcPr>
            <w:tcW w:w="61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jc w:val="center"/>
            </w:pPr>
            <w:r>
              <w:rPr>
                <w:color w:val="000000"/>
                <w:sz w:val="18"/>
                <w:szCs w:val="18"/>
              </w:rPr>
              <w:t>12h</w:t>
            </w:r>
          </w:p>
        </w:tc>
        <w:tc>
          <w:tcPr>
            <w:tcW w:w="61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A953A2" w:rsidRDefault="008710A8">
            <w:pPr>
              <w:pStyle w:val="Standard"/>
              <w:spacing w:before="60" w:after="60"/>
            </w:pPr>
            <w:r>
              <w:rPr>
                <w:sz w:val="18"/>
                <w:szCs w:val="18"/>
              </w:rPr>
              <w:t>Catherine Baumont (Univ de Bourgogne)</w:t>
            </w:r>
          </w:p>
        </w:tc>
      </w:tr>
    </w:tbl>
    <w:p w:rsidR="00A953A2" w:rsidRDefault="00A953A2">
      <w:pPr>
        <w:pStyle w:val="Standard"/>
      </w:pPr>
    </w:p>
    <w:tbl>
      <w:tblPr>
        <w:tblW w:w="0" w:type="auto"/>
        <w:tblInd w:w="-156"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3"/>
        <w:gridCol w:w="1216"/>
        <w:gridCol w:w="613"/>
        <w:gridCol w:w="1241"/>
      </w:tblGrid>
      <w:tr w:rsidR="00A953A2">
        <w:tblPrEx>
          <w:tblCellMar>
            <w:top w:w="0" w:type="dxa"/>
            <w:bottom w:w="0" w:type="dxa"/>
          </w:tblCellMar>
        </w:tblPrEx>
        <w:trPr>
          <w:trHeight w:val="57"/>
        </w:trPr>
        <w:tc>
          <w:tcPr>
            <w:tcW w:w="613" w:type="dxa"/>
            <w:gridSpan w:val="4"/>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 xml:space="preserve">OPTIONS DE SPECIALISATION </w:t>
            </w:r>
          </w:p>
          <w:p w:rsidR="00A953A2" w:rsidRDefault="008710A8">
            <w:pPr>
              <w:pStyle w:val="Standard"/>
              <w:jc w:val="center"/>
            </w:pPr>
            <w:r>
              <w:rPr>
                <w:b/>
                <w:sz w:val="18"/>
                <w:szCs w:val="18"/>
              </w:rPr>
              <w:t>« </w:t>
            </w:r>
            <w:r>
              <w:rPr>
                <w:rFonts w:ascii="Trebuchet MS" w:hAnsi="Trebuchet MS"/>
                <w:b/>
                <w:sz w:val="18"/>
                <w:szCs w:val="18"/>
              </w:rPr>
              <w:t xml:space="preserve">Management  de projets bas </w:t>
            </w:r>
            <w:r>
              <w:rPr>
                <w:rFonts w:ascii="Trebuchet MS" w:hAnsi="Trebuchet MS"/>
                <w:b/>
                <w:sz w:val="18"/>
                <w:szCs w:val="18"/>
              </w:rPr>
              <w:t>carbone et prospective énergétique </w:t>
            </w:r>
            <w:r>
              <w:rPr>
                <w:b/>
                <w:sz w:val="18"/>
                <w:szCs w:val="18"/>
              </w:rPr>
              <w:t>»</w:t>
            </w:r>
          </w:p>
          <w:p w:rsidR="00A953A2" w:rsidRDefault="008710A8">
            <w:pPr>
              <w:pStyle w:val="Standard"/>
              <w:jc w:val="center"/>
            </w:pPr>
            <w:r>
              <w:rPr>
                <w:b/>
                <w:sz w:val="18"/>
                <w:szCs w:val="18"/>
              </w:rPr>
              <w:lastRenderedPageBreak/>
              <w:t xml:space="preserve">(3 ECTS) </w:t>
            </w:r>
          </w:p>
          <w:p w:rsidR="00A953A2" w:rsidRDefault="00A953A2">
            <w:pPr>
              <w:pStyle w:val="Standard"/>
              <w:jc w:val="center"/>
            </w:pPr>
          </w:p>
        </w:tc>
      </w:tr>
      <w:tr w:rsidR="00A953A2">
        <w:tblPrEx>
          <w:tblCellMar>
            <w:top w:w="0" w:type="dxa"/>
            <w:bottom w:w="0" w:type="dxa"/>
          </w:tblCellMar>
        </w:tblPrEx>
        <w:trPr>
          <w:trHeight w:val="57"/>
        </w:trPr>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lastRenderedPageBreak/>
              <w:t>NS1</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Conduite de projets et analyse technico-économique des énergies renouvelables</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35h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Robert Soler (EDF) ; Ph. Rocher (METROL) ; Emmanuel Simon (NOV ENERGIA)</w:t>
            </w:r>
          </w:p>
        </w:tc>
      </w:tr>
      <w:tr w:rsidR="00A953A2">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NS2</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 xml:space="preserve">Financement de projet et méthodes d’aide à </w:t>
            </w:r>
            <w:r>
              <w:rPr>
                <w:sz w:val="18"/>
                <w:szCs w:val="18"/>
              </w:rPr>
              <w:t>la décision multicritères</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Nathalie Popiolek (CEA-ITESE) ; Alain Meunier (Natixis)</w:t>
            </w:r>
          </w:p>
        </w:tc>
      </w:tr>
      <w:tr w:rsidR="00A953A2">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NS3</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Modélisation, prospective énergétique et géopolitique des rapports nord-sud</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Nidhal Ouerfelli (INSTN) ; Patrick Criqui (</w:t>
            </w:r>
            <w:r>
              <w:rPr>
                <w:rStyle w:val="Accentuation"/>
                <w:sz w:val="18"/>
                <w:szCs w:val="18"/>
              </w:rPr>
              <w:t>U.PMF Grenoble</w:t>
            </w:r>
            <w:r>
              <w:rPr>
                <w:i/>
                <w:sz w:val="18"/>
                <w:szCs w:val="18"/>
              </w:rPr>
              <w:t xml:space="preserve">) ; </w:t>
            </w:r>
            <w:r>
              <w:rPr>
                <w:sz w:val="18"/>
                <w:szCs w:val="18"/>
              </w:rPr>
              <w:t xml:space="preserve">Nadia Maïzi (Mines </w:t>
            </w:r>
            <w:r>
              <w:rPr>
                <w:sz w:val="18"/>
                <w:szCs w:val="18"/>
              </w:rPr>
              <w:t>Paristech)</w:t>
            </w:r>
          </w:p>
        </w:tc>
      </w:tr>
      <w:tr w:rsidR="00A953A2">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NS4</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Energie et climat : économie du changement global</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lang w:val="en-US"/>
              </w:rPr>
              <w:t>Nidhal Ouerfelli (INSTN) ; Emeric Fortin (Ponts Paristech) ; Tancrède Voituriez (Science Po/IDDRI)</w:t>
            </w:r>
          </w:p>
        </w:tc>
      </w:tr>
      <w:tr w:rsidR="00A953A2">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NS5</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Réseaux électriques et stockage de l’énergie – smart Grid, Super grid</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 xml:space="preserve">X. Le </w:t>
            </w:r>
            <w:r>
              <w:rPr>
                <w:sz w:val="18"/>
                <w:szCs w:val="18"/>
              </w:rPr>
              <w:t>Pivers (CEA/INES) ; Ph. Mignon (RTE)</w:t>
            </w:r>
          </w:p>
        </w:tc>
      </w:tr>
    </w:tbl>
    <w:p w:rsidR="00A953A2" w:rsidRDefault="00A953A2">
      <w:pPr>
        <w:pStyle w:val="Standard"/>
        <w:tabs>
          <w:tab w:val="left" w:pos="1134"/>
          <w:tab w:val="left" w:pos="2127"/>
        </w:tabs>
        <w:spacing w:before="100" w:after="0"/>
      </w:pPr>
    </w:p>
    <w:tbl>
      <w:tblPr>
        <w:tblW w:w="0" w:type="auto"/>
        <w:tblInd w:w="-156"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27"/>
        <w:gridCol w:w="1166"/>
        <w:gridCol w:w="613"/>
        <w:gridCol w:w="1246"/>
      </w:tblGrid>
      <w:tr w:rsidR="00A953A2">
        <w:tblPrEx>
          <w:tblCellMar>
            <w:top w:w="0" w:type="dxa"/>
            <w:bottom w:w="0" w:type="dxa"/>
          </w:tblCellMar>
        </w:tblPrEx>
        <w:trPr>
          <w:trHeight w:val="57"/>
        </w:trPr>
        <w:tc>
          <w:tcPr>
            <w:tcW w:w="613" w:type="dxa"/>
            <w:gridSpan w:val="4"/>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 xml:space="preserve">OPTIONS DE SPECIALISATION </w:t>
            </w:r>
          </w:p>
          <w:p w:rsidR="00A953A2" w:rsidRDefault="008710A8">
            <w:pPr>
              <w:pStyle w:val="Standard"/>
              <w:jc w:val="center"/>
            </w:pPr>
            <w:r>
              <w:rPr>
                <w:b/>
                <w:sz w:val="18"/>
                <w:szCs w:val="18"/>
              </w:rPr>
              <w:t>« économie, finance et marchés de l’énergie »</w:t>
            </w:r>
          </w:p>
          <w:p w:rsidR="00A953A2" w:rsidRDefault="008710A8">
            <w:pPr>
              <w:pStyle w:val="Standard"/>
              <w:jc w:val="center"/>
            </w:pPr>
            <w:r>
              <w:rPr>
                <w:b/>
                <w:sz w:val="18"/>
                <w:szCs w:val="18"/>
              </w:rPr>
              <w:t xml:space="preserve">(3 ECTS) </w:t>
            </w:r>
          </w:p>
          <w:p w:rsidR="00A953A2" w:rsidRDefault="00A953A2">
            <w:pPr>
              <w:pStyle w:val="Standard"/>
              <w:jc w:val="center"/>
            </w:pPr>
          </w:p>
        </w:tc>
      </w:tr>
      <w:tr w:rsidR="00A953A2">
        <w:tblPrEx>
          <w:tblCellMar>
            <w:top w:w="0" w:type="dxa"/>
            <w:bottom w:w="0" w:type="dxa"/>
          </w:tblCellMar>
        </w:tblPrEx>
        <w:trPr>
          <w:trHeight w:val="57"/>
        </w:trPr>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b/>
                <w:sz w:val="18"/>
                <w:szCs w:val="18"/>
              </w:rPr>
              <w:lastRenderedPageBreak/>
              <w:t>NS6</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Analyse des stratégies des compagnies du secteur de l’énergie</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spacing w:before="60" w:after="60"/>
            </w:pPr>
            <w:r>
              <w:rPr>
                <w:sz w:val="18"/>
                <w:szCs w:val="18"/>
              </w:rPr>
              <w:t>Dominique Finon (Cired), Laurent David (Gdf-Suez), Jean-Michel</w:t>
            </w:r>
            <w:r>
              <w:rPr>
                <w:sz w:val="18"/>
                <w:szCs w:val="18"/>
              </w:rPr>
              <w:t xml:space="preserve"> Trochet (EDF)</w:t>
            </w:r>
          </w:p>
        </w:tc>
      </w:tr>
      <w:tr w:rsidR="00A953A2">
        <w:tblPrEx>
          <w:tblCellMar>
            <w:top w:w="0" w:type="dxa"/>
            <w:bottom w:w="0" w:type="dxa"/>
          </w:tblCellMar>
        </w:tblPrEx>
        <w:trPr>
          <w:trHeight w:val="57"/>
        </w:trPr>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NS7</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Calcul économique approfondi et financement des compagnies énergétiques</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Michel de Lara (Ponts-ParisTech), Sylvain Sarda (Natixis)</w:t>
            </w:r>
          </w:p>
        </w:tc>
      </w:tr>
      <w:tr w:rsidR="00A953A2">
        <w:tblPrEx>
          <w:tblCellMar>
            <w:top w:w="0" w:type="dxa"/>
            <w:bottom w:w="0" w:type="dxa"/>
          </w:tblCellMar>
        </w:tblPrEx>
        <w:trPr>
          <w:trHeight w:val="57"/>
        </w:trPr>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NS8</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Formation des prix des énergies de réseau</w:t>
            </w:r>
          </w:p>
        </w:tc>
        <w:tc>
          <w:tcPr>
            <w:tcW w:w="613" w:type="dxa"/>
            <w:tcBorders>
              <w:top w:val="single" w:sz="4" w:space="0" w:color="000001"/>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top w:val="single" w:sz="4" w:space="0" w:color="000001"/>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 xml:space="preserve">Yves Smeers (U. Louvain la Neuve), Catherine </w:t>
            </w:r>
            <w:r>
              <w:rPr>
                <w:sz w:val="18"/>
                <w:szCs w:val="18"/>
              </w:rPr>
              <w:t>Baumont (U. Bourgogne)</w:t>
            </w:r>
          </w:p>
        </w:tc>
      </w:tr>
      <w:tr w:rsidR="00A953A2">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NS9</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Modélisation appliquée des marchés de l’énergie et de la demande d’énergie</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Jean-Pierre Indjehagopian (Essec) ; Bruno Lapillonne (Enerdata)</w:t>
            </w:r>
          </w:p>
        </w:tc>
      </w:tr>
      <w:tr w:rsidR="00A953A2" w:rsidRPr="008710A8">
        <w:tblPrEx>
          <w:tblCellMar>
            <w:top w:w="0" w:type="dxa"/>
            <w:bottom w:w="0" w:type="dxa"/>
          </w:tblCellMar>
        </w:tblPrEx>
        <w:trPr>
          <w:trHeight w:val="57"/>
        </w:trPr>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b/>
                <w:sz w:val="18"/>
                <w:szCs w:val="18"/>
              </w:rPr>
              <w:t>NS10</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pPr>
            <w:r>
              <w:rPr>
                <w:sz w:val="18"/>
                <w:szCs w:val="18"/>
              </w:rPr>
              <w:t xml:space="preserve">Trading des commodités énergétiques </w:t>
            </w:r>
          </w:p>
        </w:tc>
        <w:tc>
          <w:tcPr>
            <w:tcW w:w="613" w:type="dxa"/>
            <w:tcBorders>
              <w:left w:val="single" w:sz="4" w:space="0" w:color="000001"/>
              <w:bottom w:val="single" w:sz="4" w:space="0" w:color="000001"/>
            </w:tcBorders>
            <w:shd w:val="clear" w:color="auto" w:fill="D99594"/>
            <w:tcMar>
              <w:top w:w="0" w:type="dxa"/>
              <w:left w:w="108" w:type="dxa"/>
              <w:bottom w:w="0" w:type="dxa"/>
              <w:right w:w="108" w:type="dxa"/>
            </w:tcMar>
          </w:tcPr>
          <w:p w:rsidR="00A953A2" w:rsidRDefault="008710A8">
            <w:pPr>
              <w:pStyle w:val="Standard"/>
              <w:jc w:val="center"/>
            </w:pPr>
            <w:r>
              <w:rPr>
                <w:sz w:val="18"/>
                <w:szCs w:val="18"/>
              </w:rPr>
              <w:t>20h</w:t>
            </w:r>
          </w:p>
        </w:tc>
        <w:tc>
          <w:tcPr>
            <w:tcW w:w="613" w:type="dxa"/>
            <w:tcBorders>
              <w:left w:val="single" w:sz="4" w:space="0" w:color="000001"/>
              <w:bottom w:val="single" w:sz="4" w:space="0" w:color="000001"/>
              <w:right w:val="single" w:sz="4" w:space="0" w:color="000001"/>
            </w:tcBorders>
            <w:shd w:val="clear" w:color="auto" w:fill="D99594"/>
            <w:tcMar>
              <w:top w:w="0" w:type="dxa"/>
              <w:left w:w="108" w:type="dxa"/>
              <w:bottom w:w="0" w:type="dxa"/>
              <w:right w:w="108" w:type="dxa"/>
            </w:tcMar>
          </w:tcPr>
          <w:p w:rsidR="00A953A2" w:rsidRPr="008710A8" w:rsidRDefault="008710A8">
            <w:pPr>
              <w:pStyle w:val="Standard"/>
              <w:rPr>
                <w:lang w:val="en-US"/>
              </w:rPr>
            </w:pPr>
            <w:r>
              <w:rPr>
                <w:sz w:val="18"/>
                <w:szCs w:val="18"/>
                <w:lang w:val="en-GB"/>
              </w:rPr>
              <w:t xml:space="preserve">Emmanuel Hache (IFP-School), Aude </w:t>
            </w:r>
            <w:r>
              <w:rPr>
                <w:sz w:val="18"/>
                <w:szCs w:val="18"/>
                <w:lang w:val="en-GB"/>
              </w:rPr>
              <w:t>Filippi (Powernext)</w:t>
            </w:r>
          </w:p>
        </w:tc>
      </w:tr>
    </w:tbl>
    <w:p w:rsidR="00A953A2" w:rsidRPr="008710A8" w:rsidRDefault="00A953A2">
      <w:pPr>
        <w:pStyle w:val="Corpsdetexte"/>
        <w:tabs>
          <w:tab w:val="left" w:pos="1134"/>
          <w:tab w:val="left" w:pos="2127"/>
        </w:tabs>
        <w:spacing w:before="100" w:after="0"/>
        <w:rPr>
          <w:lang w:val="en-US"/>
        </w:rPr>
      </w:pPr>
    </w:p>
    <w:p w:rsidR="00A953A2" w:rsidRPr="008710A8" w:rsidRDefault="00A953A2">
      <w:pPr>
        <w:pStyle w:val="Standard"/>
        <w:rPr>
          <w:lang w:val="en-US"/>
        </w:rPr>
      </w:pPr>
    </w:p>
    <w:p w:rsidR="00A953A2" w:rsidRPr="008710A8" w:rsidRDefault="00A953A2">
      <w:pPr>
        <w:pStyle w:val="Standard"/>
        <w:rPr>
          <w:lang w:val="en-US"/>
        </w:rPr>
      </w:pPr>
    </w:p>
    <w:sectPr w:rsidR="00A953A2" w:rsidRPr="008710A8">
      <w:pgSz w:w="12240" w:h="15840"/>
      <w:pgMar w:top="861" w:right="1144" w:bottom="861" w:left="1144" w:header="0" w:footer="0" w:gutter="0"/>
      <w:pgBorders>
        <w:top w:val="single" w:sz="4" w:space="0" w:color="3366FF"/>
        <w:left w:val="single" w:sz="4" w:space="0" w:color="3366FF"/>
        <w:bottom w:val="single" w:sz="4" w:space="0" w:color="3366FF"/>
        <w:right w:val="single" w:sz="4" w:space="0" w:color="3366FF"/>
      </w:pgBorders>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A2"/>
    <w:rsid w:val="008710A8"/>
    <w:rsid w:val="00A9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Times New Roman" w:hAnsi="Times New Roman" w:cs="Times New Roman"/>
      <w:color w:val="00000A"/>
      <w:sz w:val="24"/>
      <w:szCs w:val="24"/>
    </w:rPr>
  </w:style>
  <w:style w:type="character" w:customStyle="1" w:styleId="TextedebullesCar">
    <w:name w:val="Texte de bulles Car"/>
    <w:basedOn w:val="Policepardfaut"/>
    <w:rPr>
      <w:sz w:val="0"/>
      <w:szCs w:val="0"/>
      <w:lang w:val="fr-FR" w:eastAsia="fr-FR"/>
    </w:rPr>
  </w:style>
  <w:style w:type="character" w:customStyle="1" w:styleId="CorpsdetexteCar">
    <w:name w:val="Corps de texte Car"/>
    <w:basedOn w:val="Policepardfaut"/>
    <w:rPr>
      <w:rFonts w:ascii="Helvetica" w:hAnsi="Helvetica" w:cs="Helvetica"/>
      <w:b/>
      <w:bCs/>
      <w:sz w:val="24"/>
      <w:szCs w:val="24"/>
      <w:lang w:val="fr-BE" w:eastAsia="fr-FR" w:bidi="ar-SA"/>
    </w:rPr>
  </w:style>
  <w:style w:type="character" w:customStyle="1" w:styleId="Accentuationforte">
    <w:name w:val="Accentuation forte"/>
    <w:basedOn w:val="Policepardfaut"/>
    <w:rPr>
      <w:rFonts w:cs="Times New Roman"/>
      <w:b/>
      <w:bCs/>
    </w:rPr>
  </w:style>
  <w:style w:type="character" w:styleId="Accentuation">
    <w:name w:val="Emphasis"/>
    <w:basedOn w:val="Policepardfaut"/>
    <w:rPr>
      <w:i/>
      <w:iCs/>
    </w:rPr>
  </w:style>
  <w:style w:type="character" w:customStyle="1" w:styleId="ListLabel1">
    <w:name w:val="ListLabel 1"/>
    <w:rPr>
      <w:rFonts w:eastAsia="Times New Roman"/>
    </w:rPr>
  </w:style>
  <w:style w:type="character" w:customStyle="1" w:styleId="ListLabel2">
    <w:name w:val="ListLabel 2"/>
    <w:rPr>
      <w:rFonts w:cs="Wingdings"/>
    </w:rPr>
  </w:style>
  <w:style w:type="paragraph" w:styleId="Titre">
    <w:name w:val="Title"/>
    <w:basedOn w:val="Standard"/>
    <w:next w:val="Corpsdetexte"/>
    <w:pPr>
      <w:keepNext/>
      <w:spacing w:before="240" w:after="120"/>
    </w:pPr>
    <w:rPr>
      <w:rFonts w:ascii="Arial" w:eastAsia="Droid Sans Fallback" w:hAnsi="Arial" w:cs="Lohit Hindi"/>
      <w:sz w:val="28"/>
      <w:szCs w:val="28"/>
    </w:rPr>
  </w:style>
  <w:style w:type="paragraph" w:styleId="Corpsdetexte">
    <w:name w:val="Body Text"/>
    <w:basedOn w:val="Standard"/>
    <w:pPr>
      <w:spacing w:after="120"/>
      <w:jc w:val="both"/>
    </w:pPr>
    <w:rPr>
      <w:rFonts w:ascii="Helvetica" w:hAnsi="Helvetica" w:cs="Helvetica"/>
      <w:b/>
      <w:bCs/>
      <w:lang w:val="fr-BE"/>
    </w:r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StyleFICHEBlancEncadrementTraitspleinsdoublesAutomati">
    <w:name w:val="Style FICHE + Blanc Encadrement : (Traits pleins doubles Automati..."/>
    <w:basedOn w:val="Standard"/>
    <w:pPr>
      <w:keepNext/>
      <w:pBdr>
        <w:top w:val="single" w:sz="4" w:space="0" w:color="00000A"/>
        <w:left w:val="single" w:sz="4" w:space="0" w:color="00000A"/>
        <w:bottom w:val="single" w:sz="4" w:space="0" w:color="00000A"/>
        <w:right w:val="single" w:sz="4" w:space="0" w:color="00000A"/>
      </w:pBdr>
      <w:shd w:val="clear" w:color="auto" w:fill="008C89"/>
      <w:jc w:val="center"/>
    </w:pPr>
    <w:rPr>
      <w:b/>
      <w:bCs/>
      <w:caps/>
      <w:color w:val="FFFFFF"/>
      <w:sz w:val="28"/>
      <w:szCs w:val="20"/>
    </w:rPr>
  </w:style>
  <w:style w:type="paragraph" w:styleId="Textedebulles">
    <w:name w:val="Balloon Text"/>
    <w:basedOn w:val="Standard"/>
    <w:rPr>
      <w:rFonts w:ascii="Tahoma" w:hAnsi="Tahoma" w:cs="Tahoma"/>
      <w:sz w:val="16"/>
      <w:szCs w:val="16"/>
    </w:rPr>
  </w:style>
  <w:style w:type="paragraph" w:styleId="NormalWeb">
    <w:name w:val="Normal (Web)"/>
    <w:basedOn w:val="Standard"/>
    <w:pPr>
      <w:spacing w:before="28" w:after="28"/>
    </w:pPr>
  </w:style>
  <w:style w:type="paragraph" w:customStyle="1" w:styleId="Blockquote">
    <w:name w:val="Blockquote"/>
    <w:basedOn w:val="Standard"/>
    <w:pPr>
      <w:spacing w:before="100" w:after="100"/>
      <w:ind w:left="360" w:right="360"/>
    </w:pPr>
    <w:rPr>
      <w:rFonts w:ascii="Century Gothic" w:hAnsi="Century Gothic" w:cs="Century Gothic"/>
      <w:lang w:val="fr-BE"/>
    </w:rPr>
  </w:style>
  <w:style w:type="paragraph" w:styleId="Paragraphedeliste">
    <w:name w:val="List Paragraph"/>
    <w:basedOn w:val="Standard"/>
    <w:pPr>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Times New Roman" w:hAnsi="Times New Roman" w:cs="Times New Roman"/>
      <w:color w:val="00000A"/>
      <w:sz w:val="24"/>
      <w:szCs w:val="24"/>
    </w:rPr>
  </w:style>
  <w:style w:type="character" w:customStyle="1" w:styleId="TextedebullesCar">
    <w:name w:val="Texte de bulles Car"/>
    <w:basedOn w:val="Policepardfaut"/>
    <w:rPr>
      <w:sz w:val="0"/>
      <w:szCs w:val="0"/>
      <w:lang w:val="fr-FR" w:eastAsia="fr-FR"/>
    </w:rPr>
  </w:style>
  <w:style w:type="character" w:customStyle="1" w:styleId="CorpsdetexteCar">
    <w:name w:val="Corps de texte Car"/>
    <w:basedOn w:val="Policepardfaut"/>
    <w:rPr>
      <w:rFonts w:ascii="Helvetica" w:hAnsi="Helvetica" w:cs="Helvetica"/>
      <w:b/>
      <w:bCs/>
      <w:sz w:val="24"/>
      <w:szCs w:val="24"/>
      <w:lang w:val="fr-BE" w:eastAsia="fr-FR" w:bidi="ar-SA"/>
    </w:rPr>
  </w:style>
  <w:style w:type="character" w:customStyle="1" w:styleId="Accentuationforte">
    <w:name w:val="Accentuation forte"/>
    <w:basedOn w:val="Policepardfaut"/>
    <w:rPr>
      <w:rFonts w:cs="Times New Roman"/>
      <w:b/>
      <w:bCs/>
    </w:rPr>
  </w:style>
  <w:style w:type="character" w:styleId="Accentuation">
    <w:name w:val="Emphasis"/>
    <w:basedOn w:val="Policepardfaut"/>
    <w:rPr>
      <w:i/>
      <w:iCs/>
    </w:rPr>
  </w:style>
  <w:style w:type="character" w:customStyle="1" w:styleId="ListLabel1">
    <w:name w:val="ListLabel 1"/>
    <w:rPr>
      <w:rFonts w:eastAsia="Times New Roman"/>
    </w:rPr>
  </w:style>
  <w:style w:type="character" w:customStyle="1" w:styleId="ListLabel2">
    <w:name w:val="ListLabel 2"/>
    <w:rPr>
      <w:rFonts w:cs="Wingdings"/>
    </w:rPr>
  </w:style>
  <w:style w:type="paragraph" w:styleId="Titre">
    <w:name w:val="Title"/>
    <w:basedOn w:val="Standard"/>
    <w:next w:val="Corpsdetexte"/>
    <w:pPr>
      <w:keepNext/>
      <w:spacing w:before="240" w:after="120"/>
    </w:pPr>
    <w:rPr>
      <w:rFonts w:ascii="Arial" w:eastAsia="Droid Sans Fallback" w:hAnsi="Arial" w:cs="Lohit Hindi"/>
      <w:sz w:val="28"/>
      <w:szCs w:val="28"/>
    </w:rPr>
  </w:style>
  <w:style w:type="paragraph" w:styleId="Corpsdetexte">
    <w:name w:val="Body Text"/>
    <w:basedOn w:val="Standard"/>
    <w:pPr>
      <w:spacing w:after="120"/>
      <w:jc w:val="both"/>
    </w:pPr>
    <w:rPr>
      <w:rFonts w:ascii="Helvetica" w:hAnsi="Helvetica" w:cs="Helvetica"/>
      <w:b/>
      <w:bCs/>
      <w:lang w:val="fr-BE"/>
    </w:r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StyleFICHEBlancEncadrementTraitspleinsdoublesAutomati">
    <w:name w:val="Style FICHE + Blanc Encadrement : (Traits pleins doubles Automati..."/>
    <w:basedOn w:val="Standard"/>
    <w:pPr>
      <w:keepNext/>
      <w:pBdr>
        <w:top w:val="single" w:sz="4" w:space="0" w:color="00000A"/>
        <w:left w:val="single" w:sz="4" w:space="0" w:color="00000A"/>
        <w:bottom w:val="single" w:sz="4" w:space="0" w:color="00000A"/>
        <w:right w:val="single" w:sz="4" w:space="0" w:color="00000A"/>
      </w:pBdr>
      <w:shd w:val="clear" w:color="auto" w:fill="008C89"/>
      <w:jc w:val="center"/>
    </w:pPr>
    <w:rPr>
      <w:b/>
      <w:bCs/>
      <w:caps/>
      <w:color w:val="FFFFFF"/>
      <w:sz w:val="28"/>
      <w:szCs w:val="20"/>
    </w:rPr>
  </w:style>
  <w:style w:type="paragraph" w:styleId="Textedebulles">
    <w:name w:val="Balloon Text"/>
    <w:basedOn w:val="Standard"/>
    <w:rPr>
      <w:rFonts w:ascii="Tahoma" w:hAnsi="Tahoma" w:cs="Tahoma"/>
      <w:sz w:val="16"/>
      <w:szCs w:val="16"/>
    </w:rPr>
  </w:style>
  <w:style w:type="paragraph" w:styleId="NormalWeb">
    <w:name w:val="Normal (Web)"/>
    <w:basedOn w:val="Standard"/>
    <w:pPr>
      <w:spacing w:before="28" w:after="28"/>
    </w:pPr>
  </w:style>
  <w:style w:type="paragraph" w:customStyle="1" w:styleId="Blockquote">
    <w:name w:val="Blockquote"/>
    <w:basedOn w:val="Standard"/>
    <w:pPr>
      <w:spacing w:before="100" w:after="100"/>
      <w:ind w:left="360" w:right="360"/>
    </w:pPr>
    <w:rPr>
      <w:rFonts w:ascii="Century Gothic" w:hAnsi="Century Gothic" w:cs="Century Gothic"/>
      <w:lang w:val="fr-BE"/>
    </w:rPr>
  </w:style>
  <w:style w:type="paragraph" w:styleId="Paragraphedeliste">
    <w:name w:val="List Paragraph"/>
    <w:basedOn w:val="Standard"/>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3200</Words>
  <Characters>17602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FICHE 13</vt:lpstr>
    </vt:vector>
  </TitlesOfParts>
  <Company>Université Paris Ouest Nanterre La Défense</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13</dc:title>
  <dc:creator>DPAEP-INFORMATIQUE</dc:creator>
  <cp:lastModifiedBy>Pereymond Annie</cp:lastModifiedBy>
  <cp:revision>2</cp:revision>
  <cp:lastPrinted>2012-10-17T13:08:00Z</cp:lastPrinted>
  <dcterms:created xsi:type="dcterms:W3CDTF">2013-02-28T09:31:00Z</dcterms:created>
  <dcterms:modified xsi:type="dcterms:W3CDTF">2013-02-28T09:31:00Z</dcterms:modified>
</cp:coreProperties>
</file>