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90" w:rsidRDefault="00DE1490" w:rsidP="00DE1490">
      <w:pPr>
        <w:pStyle w:val="Titre2"/>
        <w:jc w:val="left"/>
        <w:rPr>
          <w:rFonts w:ascii="Times New Roman" w:hAnsi="Times New Roman"/>
          <w:sz w:val="24"/>
          <w:u w:val="none"/>
        </w:rPr>
      </w:pPr>
      <w:bookmarkStart w:id="0" w:name="_GoBack"/>
      <w:bookmarkEnd w:id="0"/>
      <w:r>
        <w:rPr>
          <w:rFonts w:ascii="Times New Roman" w:hAnsi="Times New Roman"/>
          <w:sz w:val="24"/>
          <w:u w:val="none"/>
        </w:rPr>
        <w:t>Catherine Dejeumont</w:t>
      </w:r>
    </w:p>
    <w:p w:rsidR="00BD5FDD" w:rsidRPr="00BD5FDD" w:rsidRDefault="00BD5FDD" w:rsidP="00BD5FDD">
      <w:r>
        <w:t>CEREG - Nanterre</w:t>
      </w:r>
    </w:p>
    <w:p w:rsidR="00DE1490" w:rsidRDefault="00DE1490" w:rsidP="00DE1490"/>
    <w:p w:rsidR="00DE1490" w:rsidRDefault="00DE1490" w:rsidP="00DE1490"/>
    <w:p w:rsidR="00DE1490" w:rsidRDefault="00F45304" w:rsidP="00DE1490">
      <w:pPr>
        <w:pStyle w:val="Titre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Publications</w:t>
      </w:r>
    </w:p>
    <w:p w:rsidR="00F45304" w:rsidRDefault="00F45304" w:rsidP="00F45304"/>
    <w:p w:rsidR="00FB6BA5" w:rsidRDefault="00FB6BA5" w:rsidP="00F45304"/>
    <w:p w:rsidR="002B4DB2" w:rsidRDefault="002B4DB2" w:rsidP="00FB6BA5">
      <w:pPr>
        <w:jc w:val="both"/>
      </w:pPr>
      <w:r>
        <w:t>-</w:t>
      </w:r>
      <w:r w:rsidR="00FB6BA5">
        <w:tab/>
        <w:t xml:space="preserve">« ‘Dialogue’ dites-vous ? Balthasar </w:t>
      </w:r>
      <w:proofErr w:type="spellStart"/>
      <w:r w:rsidR="00FB6BA5">
        <w:t>Hubmaier</w:t>
      </w:r>
      <w:proofErr w:type="spellEnd"/>
      <w:r w:rsidR="00FB6BA5">
        <w:t xml:space="preserve"> et Zwingli – Balthasar </w:t>
      </w:r>
      <w:proofErr w:type="spellStart"/>
      <w:r w:rsidR="00FB6BA5">
        <w:t>Hubmaier</w:t>
      </w:r>
      <w:proofErr w:type="spellEnd"/>
      <w:r w:rsidR="00FB6BA5">
        <w:t xml:space="preserve"> : Dialogue à propos du livret sur le baptême de Maitre Zwingli de Zurich au sujet du baptême des enfants » (traduction, présentation et notes), </w:t>
      </w:r>
      <w:r w:rsidR="00FB6BA5" w:rsidRPr="00FB6BA5">
        <w:rPr>
          <w:i/>
        </w:rPr>
        <w:t>in</w:t>
      </w:r>
      <w:r w:rsidR="00FB6BA5">
        <w:t xml:space="preserve"> : </w:t>
      </w:r>
      <w:proofErr w:type="spellStart"/>
      <w:r w:rsidR="00FB6BA5">
        <w:t>Chrystel</w:t>
      </w:r>
      <w:proofErr w:type="spellEnd"/>
      <w:r w:rsidR="00FB6BA5">
        <w:t xml:space="preserve"> </w:t>
      </w:r>
      <w:proofErr w:type="spellStart"/>
      <w:r w:rsidR="00FB6BA5" w:rsidRPr="00FB6BA5">
        <w:rPr>
          <w:smallCaps/>
        </w:rPr>
        <w:t>Bernat</w:t>
      </w:r>
      <w:proofErr w:type="spellEnd"/>
      <w:r w:rsidR="00FB6BA5">
        <w:t xml:space="preserve"> (éd.) : </w:t>
      </w:r>
      <w:r w:rsidR="00FB6BA5" w:rsidRPr="00FB6BA5">
        <w:rPr>
          <w:i/>
        </w:rPr>
        <w:t xml:space="preserve">Textes réformateurs inédits, Etudes théologiques et religieuses </w:t>
      </w:r>
      <w:r w:rsidR="00FB6BA5">
        <w:t xml:space="preserve">[ETR], Tome 92, 2017/1, Montpellier, 2017, p. 53-133. </w:t>
      </w:r>
      <w:r>
        <w:tab/>
      </w:r>
    </w:p>
    <w:p w:rsidR="002B4DB2" w:rsidRDefault="002B4DB2" w:rsidP="00F45304">
      <w:pPr>
        <w:jc w:val="both"/>
      </w:pPr>
    </w:p>
    <w:p w:rsidR="00F45304" w:rsidRDefault="00BD5FDD" w:rsidP="00F45304">
      <w:pPr>
        <w:jc w:val="both"/>
      </w:pPr>
      <w:r>
        <w:t>-</w:t>
      </w:r>
      <w:r>
        <w:tab/>
        <w:t>« Joël 2, 28-32 au début de la Réformation. Le texte et le rêve ou le contrôle de la p</w:t>
      </w:r>
      <w:r w:rsidR="002B4DB2">
        <w:t xml:space="preserve">arole », </w:t>
      </w:r>
      <w:r w:rsidR="002B4DB2" w:rsidRPr="002B4DB2">
        <w:rPr>
          <w:i/>
        </w:rPr>
        <w:t>in</w:t>
      </w:r>
      <w:r w:rsidR="002B4DB2">
        <w:t xml:space="preserve"> : Matthieu </w:t>
      </w:r>
      <w:r w:rsidR="002B4DB2" w:rsidRPr="002B4DB2">
        <w:rPr>
          <w:smallCaps/>
        </w:rPr>
        <w:t>Arnold</w:t>
      </w:r>
      <w:r w:rsidR="002B4DB2">
        <w:t xml:space="preserve">, Gilbert </w:t>
      </w:r>
      <w:proofErr w:type="spellStart"/>
      <w:r w:rsidR="002B4DB2" w:rsidRPr="002B4DB2">
        <w:rPr>
          <w:smallCaps/>
        </w:rPr>
        <w:t>Dahan</w:t>
      </w:r>
      <w:proofErr w:type="spellEnd"/>
      <w:r w:rsidR="002B4DB2">
        <w:t xml:space="preserve"> &amp; Annie </w:t>
      </w:r>
      <w:r w:rsidR="002B4DB2" w:rsidRPr="002B4DB2">
        <w:rPr>
          <w:smallCaps/>
        </w:rPr>
        <w:t>Noblesse-Rocher</w:t>
      </w:r>
      <w:r w:rsidR="002B4DB2">
        <w:t xml:space="preserve"> (</w:t>
      </w:r>
      <w:proofErr w:type="spellStart"/>
      <w:r w:rsidR="002B4DB2">
        <w:t>dir</w:t>
      </w:r>
      <w:proofErr w:type="spellEnd"/>
      <w:r w:rsidR="002B4DB2">
        <w:t xml:space="preserve">) : </w:t>
      </w:r>
      <w:r w:rsidR="002B4DB2" w:rsidRPr="002B4DB2">
        <w:rPr>
          <w:i/>
        </w:rPr>
        <w:t>Joël 3 (2, 28-32). L’Effusion de l’Esprit. Études d’histoire de l’exégèse 10</w:t>
      </w:r>
      <w:r w:rsidR="002B4DB2">
        <w:t>, Éditions du Cerf, Paris, 2017, p. 125-159</w:t>
      </w:r>
      <w:r w:rsidR="00115913">
        <w:t xml:space="preserve"> [Cerf Patrimoines – Histoire de l’exégèse]</w:t>
      </w:r>
      <w:r>
        <w:t>.</w:t>
      </w:r>
    </w:p>
    <w:p w:rsidR="00BD5FDD" w:rsidRDefault="00BD5FDD" w:rsidP="00F45304">
      <w:pPr>
        <w:jc w:val="both"/>
      </w:pPr>
    </w:p>
    <w:p w:rsidR="00EE5D13" w:rsidRDefault="00EE5D13" w:rsidP="00F45304">
      <w:pPr>
        <w:jc w:val="both"/>
      </w:pPr>
      <w:r>
        <w:t>-</w:t>
      </w:r>
      <w:r>
        <w:tab/>
        <w:t>« </w:t>
      </w:r>
      <w:proofErr w:type="spellStart"/>
      <w:r>
        <w:t>Argula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Grumbach</w:t>
      </w:r>
      <w:proofErr w:type="spellEnd"/>
      <w:r>
        <w:t xml:space="preserve"> contre l’Université d’Ingolstadt (1523) », </w:t>
      </w:r>
      <w:r w:rsidRPr="00EE5D13">
        <w:rPr>
          <w:i/>
        </w:rPr>
        <w:t>in</w:t>
      </w:r>
      <w:r>
        <w:t xml:space="preserve"> : </w:t>
      </w:r>
      <w:r w:rsidRPr="00EE5D13">
        <w:rPr>
          <w:i/>
        </w:rPr>
        <w:t>Le texte et l’idée</w:t>
      </w:r>
      <w:r>
        <w:t>, 30, (CEGIL, Université de Nancy 2), Nancy, 2016, p. 77-118.</w:t>
      </w:r>
    </w:p>
    <w:p w:rsidR="00EE5D13" w:rsidRDefault="00EE5D13" w:rsidP="00F45304">
      <w:pPr>
        <w:jc w:val="both"/>
      </w:pPr>
    </w:p>
    <w:p w:rsidR="009B46A3" w:rsidRDefault="009B46A3" w:rsidP="00F45304">
      <w:pPr>
        <w:jc w:val="both"/>
      </w:pPr>
      <w:r>
        <w:t>-</w:t>
      </w:r>
      <w:r>
        <w:tab/>
        <w:t xml:space="preserve">« Münster (1534-1535) : Un exemple précoce de contre-culture ou l’histoire d’une méprise ? », </w:t>
      </w:r>
      <w:r w:rsidRPr="009B46A3">
        <w:rPr>
          <w:i/>
        </w:rPr>
        <w:t>in</w:t>
      </w:r>
      <w:r>
        <w:t xml:space="preserve"> : </w:t>
      </w:r>
      <w:r w:rsidRPr="009B46A3">
        <w:rPr>
          <w:smallCaps/>
        </w:rPr>
        <w:t>Lacroix</w:t>
      </w:r>
      <w:r>
        <w:t xml:space="preserve">, Bernard, </w:t>
      </w:r>
      <w:proofErr w:type="spellStart"/>
      <w:r w:rsidRPr="009B46A3">
        <w:rPr>
          <w:smallCaps/>
        </w:rPr>
        <w:t>Landrin</w:t>
      </w:r>
      <w:proofErr w:type="spellEnd"/>
      <w:r>
        <w:t xml:space="preserve">, Xavier, </w:t>
      </w:r>
      <w:proofErr w:type="spellStart"/>
      <w:r w:rsidRPr="009B46A3">
        <w:rPr>
          <w:smallCaps/>
        </w:rPr>
        <w:t>Pailhès</w:t>
      </w:r>
      <w:proofErr w:type="spellEnd"/>
      <w:r>
        <w:t xml:space="preserve">, Anne-Marie, </w:t>
      </w:r>
      <w:r w:rsidRPr="009B46A3">
        <w:rPr>
          <w:smallCaps/>
        </w:rPr>
        <w:t>Rolland-</w:t>
      </w:r>
      <w:proofErr w:type="spellStart"/>
      <w:r w:rsidRPr="009B46A3">
        <w:rPr>
          <w:smallCaps/>
        </w:rPr>
        <w:t>Diamond</w:t>
      </w:r>
      <w:proofErr w:type="spellEnd"/>
      <w:r>
        <w:t>, Caroline (</w:t>
      </w:r>
      <w:proofErr w:type="spellStart"/>
      <w:r>
        <w:t>dir</w:t>
      </w:r>
      <w:proofErr w:type="spellEnd"/>
      <w:r>
        <w:t xml:space="preserve">.) : </w:t>
      </w:r>
      <w:r w:rsidRPr="009B46A3">
        <w:rPr>
          <w:i/>
        </w:rPr>
        <w:t>Les contre-cultures. Genèses, circulations, pratiques</w:t>
      </w:r>
      <w:r>
        <w:t>, Éditions Syllepse, Paris, 2015, p. 339-356.</w:t>
      </w:r>
    </w:p>
    <w:p w:rsidR="009B46A3" w:rsidRDefault="009B46A3" w:rsidP="00F45304">
      <w:pPr>
        <w:jc w:val="both"/>
      </w:pPr>
    </w:p>
    <w:p w:rsidR="00F64B3D" w:rsidRDefault="00F64B3D" w:rsidP="00F45304">
      <w:pPr>
        <w:jc w:val="both"/>
      </w:pPr>
      <w:r>
        <w:t>-</w:t>
      </w:r>
      <w:r>
        <w:tab/>
        <w:t xml:space="preserve">« Le diable habite à Wittenberg – Valentin </w:t>
      </w:r>
      <w:proofErr w:type="spellStart"/>
      <w:r>
        <w:t>Ickelshamer</w:t>
      </w:r>
      <w:proofErr w:type="spellEnd"/>
      <w:r>
        <w:t xml:space="preserve"> contre Martin Luther (1525) », </w:t>
      </w:r>
      <w:r w:rsidRPr="00F64B3D">
        <w:rPr>
          <w:i/>
        </w:rPr>
        <w:t>in</w:t>
      </w:r>
      <w:r>
        <w:t xml:space="preserve"> : </w:t>
      </w:r>
      <w:r w:rsidRPr="00F64B3D">
        <w:rPr>
          <w:i/>
        </w:rPr>
        <w:t>Le texte et l’idée</w:t>
      </w:r>
      <w:r>
        <w:t>, 28, (CEGIL, Université de Nancy 2), Nancy, 2014, p. 93-123.</w:t>
      </w:r>
    </w:p>
    <w:p w:rsidR="00F64B3D" w:rsidRDefault="00F64B3D" w:rsidP="00F45304">
      <w:pPr>
        <w:jc w:val="both"/>
      </w:pPr>
    </w:p>
    <w:p w:rsidR="00F45304" w:rsidRDefault="00F45304" w:rsidP="00F45304">
      <w:pPr>
        <w:jc w:val="both"/>
      </w:pPr>
      <w:r>
        <w:t>-</w:t>
      </w:r>
      <w:r>
        <w:tab/>
        <w:t xml:space="preserve">« Balthasar </w:t>
      </w:r>
      <w:proofErr w:type="spellStart"/>
      <w:r>
        <w:t>Hubmaier</w:t>
      </w:r>
      <w:proofErr w:type="spellEnd"/>
      <w:r>
        <w:t xml:space="preserve"> et le baptême », </w:t>
      </w:r>
      <w:r w:rsidRPr="00F45304">
        <w:rPr>
          <w:i/>
        </w:rPr>
        <w:t>in</w:t>
      </w:r>
      <w:r>
        <w:t xml:space="preserve"> : </w:t>
      </w:r>
      <w:r w:rsidRPr="00EA4994">
        <w:rPr>
          <w:smallCaps/>
        </w:rPr>
        <w:t>Hobbs</w:t>
      </w:r>
      <w:r>
        <w:t xml:space="preserve">, R. Gerald et </w:t>
      </w:r>
      <w:r w:rsidRPr="00EA4994">
        <w:rPr>
          <w:smallCaps/>
        </w:rPr>
        <w:t>Noblesse-Rocher</w:t>
      </w:r>
      <w:r>
        <w:t>, Annie (</w:t>
      </w:r>
      <w:proofErr w:type="spellStart"/>
      <w:r>
        <w:t>dir</w:t>
      </w:r>
      <w:proofErr w:type="spellEnd"/>
      <w:r>
        <w:t xml:space="preserve">.) : </w:t>
      </w:r>
      <w:r w:rsidRPr="00EA4994">
        <w:rPr>
          <w:i/>
        </w:rPr>
        <w:t>Bible, Histoire et Société. Mélanges offerts à Bernard Roussel</w:t>
      </w:r>
      <w:r>
        <w:t xml:space="preserve">, </w:t>
      </w:r>
      <w:proofErr w:type="spellStart"/>
      <w:r>
        <w:t>Brepols</w:t>
      </w:r>
      <w:proofErr w:type="spellEnd"/>
      <w:r>
        <w:t>, Turnhout, 2013, p. 169-187 [Bibliothèque de l’</w:t>
      </w:r>
      <w:r w:rsidR="00EA4994">
        <w:t>École des Hautes É</w:t>
      </w:r>
      <w:r>
        <w:t>tudes – Sciences Religieuses, 163].</w:t>
      </w:r>
    </w:p>
    <w:p w:rsidR="00F45304" w:rsidRDefault="00F45304" w:rsidP="00F45304">
      <w:pPr>
        <w:jc w:val="both"/>
      </w:pPr>
    </w:p>
    <w:p w:rsidR="00F45304" w:rsidRPr="00F45304" w:rsidRDefault="00F45304" w:rsidP="00F45304">
      <w:pPr>
        <w:jc w:val="both"/>
      </w:pPr>
      <w:r>
        <w:t>-</w:t>
      </w:r>
      <w:r>
        <w:tab/>
        <w:t xml:space="preserve">« La </w:t>
      </w:r>
      <w:r w:rsidRPr="00F45304">
        <w:rPr>
          <w:i/>
        </w:rPr>
        <w:t>Brève Apologie</w:t>
      </w:r>
      <w:r>
        <w:t xml:space="preserve"> de Balthasar </w:t>
      </w:r>
      <w:proofErr w:type="spellStart"/>
      <w:r>
        <w:t>Hubmaier</w:t>
      </w:r>
      <w:proofErr w:type="spellEnd"/>
      <w:r>
        <w:t xml:space="preserve"> (1526)</w:t>
      </w:r>
      <w:r w:rsidR="00F64B3D">
        <w:t> »</w:t>
      </w:r>
      <w:r>
        <w:t xml:space="preserve">, in : </w:t>
      </w:r>
      <w:r w:rsidRPr="00F45304">
        <w:rPr>
          <w:i/>
        </w:rPr>
        <w:t>Le texte et l’idée</w:t>
      </w:r>
      <w:r>
        <w:t>, 26, (CEGIL, Université de Nancy 2), Nancy, 2012, p. 95-124.</w:t>
      </w:r>
    </w:p>
    <w:p w:rsidR="00DE1490" w:rsidRDefault="00DE1490" w:rsidP="00F45304">
      <w:pPr>
        <w:pStyle w:val="Notedefin"/>
        <w:jc w:val="both"/>
        <w:rPr>
          <w:sz w:val="24"/>
        </w:rPr>
      </w:pPr>
    </w:p>
    <w:p w:rsidR="00DE1490" w:rsidRDefault="00DE1490" w:rsidP="00DE1490">
      <w:pPr>
        <w:pStyle w:val="Notedefin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« Heinrich </w:t>
      </w:r>
      <w:proofErr w:type="spellStart"/>
      <w:r>
        <w:rPr>
          <w:sz w:val="24"/>
        </w:rPr>
        <w:t>von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Kettenbach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Lazarus</w:t>
      </w:r>
      <w:proofErr w:type="spellEnd"/>
      <w:r>
        <w:rPr>
          <w:sz w:val="24"/>
        </w:rPr>
        <w:t xml:space="preserve"> Spengler, défenseurs de Martin Luther (1523) », in : </w:t>
      </w:r>
      <w:r>
        <w:rPr>
          <w:i/>
          <w:iCs/>
          <w:sz w:val="24"/>
        </w:rPr>
        <w:t>Le texte et l’idée</w:t>
      </w:r>
      <w:r>
        <w:rPr>
          <w:sz w:val="24"/>
        </w:rPr>
        <w:t xml:space="preserve">, 23, (CEGIL, Université de Nancy 2), Nancy, 2009, p. 81-102. </w:t>
      </w:r>
    </w:p>
    <w:p w:rsidR="00DE1490" w:rsidRDefault="00DE1490" w:rsidP="00DE1490">
      <w:pPr>
        <w:pStyle w:val="Notedefin"/>
        <w:jc w:val="both"/>
        <w:rPr>
          <w:sz w:val="24"/>
        </w:rPr>
      </w:pPr>
    </w:p>
    <w:p w:rsidR="00DE1490" w:rsidRDefault="00DE1490" w:rsidP="00DE1490">
      <w:pPr>
        <w:pStyle w:val="Notedefin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« Le </w:t>
      </w:r>
      <w:proofErr w:type="spellStart"/>
      <w:r>
        <w:rPr>
          <w:i/>
          <w:iCs/>
          <w:sz w:val="24"/>
        </w:rPr>
        <w:t>Passional</w:t>
      </w:r>
      <w:proofErr w:type="spellEnd"/>
      <w:r>
        <w:rPr>
          <w:i/>
          <w:iCs/>
          <w:sz w:val="24"/>
        </w:rPr>
        <w:t xml:space="preserve"> Christi et </w:t>
      </w:r>
      <w:proofErr w:type="spellStart"/>
      <w:r>
        <w:rPr>
          <w:i/>
          <w:iCs/>
          <w:sz w:val="24"/>
        </w:rPr>
        <w:t>Antichristi</w:t>
      </w:r>
      <w:proofErr w:type="spellEnd"/>
      <w:r>
        <w:rPr>
          <w:sz w:val="24"/>
        </w:rPr>
        <w:t xml:space="preserve"> (1521) et la </w:t>
      </w:r>
      <w:proofErr w:type="spellStart"/>
      <w:r>
        <w:rPr>
          <w:i/>
          <w:iCs/>
          <w:sz w:val="24"/>
        </w:rPr>
        <w:t>Vergleichung</w:t>
      </w:r>
      <w:proofErr w:type="spellEnd"/>
      <w:r>
        <w:rPr>
          <w:i/>
          <w:iCs/>
          <w:sz w:val="24"/>
        </w:rPr>
        <w:t xml:space="preserve"> des </w:t>
      </w:r>
      <w:proofErr w:type="spellStart"/>
      <w:r>
        <w:rPr>
          <w:i/>
          <w:iCs/>
          <w:sz w:val="24"/>
        </w:rPr>
        <w:t>Papstes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und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Jesus</w:t>
      </w:r>
      <w:proofErr w:type="spellEnd"/>
      <w:r>
        <w:rPr>
          <w:sz w:val="24"/>
        </w:rPr>
        <w:t xml:space="preserve"> (1523) ou : de Luther à</w:t>
      </w:r>
      <w:r w:rsidR="00F45304">
        <w:rPr>
          <w:sz w:val="24"/>
        </w:rPr>
        <w:t xml:space="preserve"> l’homme du commun »,</w:t>
      </w:r>
      <w:r>
        <w:rPr>
          <w:sz w:val="24"/>
        </w:rPr>
        <w:t xml:space="preserve"> </w:t>
      </w:r>
      <w:r>
        <w:rPr>
          <w:i/>
          <w:iCs/>
          <w:sz w:val="24"/>
        </w:rPr>
        <w:t>in</w:t>
      </w:r>
      <w:r>
        <w:rPr>
          <w:sz w:val="24"/>
        </w:rPr>
        <w:t xml:space="preserve"> : </w:t>
      </w:r>
      <w:proofErr w:type="spellStart"/>
      <w:r>
        <w:rPr>
          <w:smallCaps/>
          <w:sz w:val="24"/>
        </w:rPr>
        <w:t>Behague</w:t>
      </w:r>
      <w:proofErr w:type="spellEnd"/>
      <w:r>
        <w:rPr>
          <w:sz w:val="24"/>
        </w:rPr>
        <w:t xml:space="preserve">, Emmanuel et </w:t>
      </w:r>
      <w:proofErr w:type="spellStart"/>
      <w:r>
        <w:rPr>
          <w:smallCaps/>
          <w:sz w:val="24"/>
        </w:rPr>
        <w:t>Goeldel</w:t>
      </w:r>
      <w:proofErr w:type="spellEnd"/>
      <w:r>
        <w:rPr>
          <w:sz w:val="24"/>
        </w:rPr>
        <w:t xml:space="preserve">, Denis (éd.) : </w:t>
      </w:r>
      <w:r>
        <w:rPr>
          <w:i/>
          <w:iCs/>
          <w:sz w:val="24"/>
        </w:rPr>
        <w:t>Une germanistique sans rivages -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Mélanges en l’honneur de Frédéric </w:t>
      </w:r>
      <w:proofErr w:type="spellStart"/>
      <w:r>
        <w:rPr>
          <w:i/>
          <w:iCs/>
          <w:sz w:val="24"/>
        </w:rPr>
        <w:t>Hartweg</w:t>
      </w:r>
      <w:proofErr w:type="spellEnd"/>
      <w:r>
        <w:rPr>
          <w:sz w:val="24"/>
        </w:rPr>
        <w:t>, Strasbourg, PUS, 2008, p. 111-119.</w:t>
      </w:r>
    </w:p>
    <w:p w:rsidR="00DE1490" w:rsidRDefault="00DE1490" w:rsidP="00DE1490">
      <w:pPr>
        <w:pStyle w:val="Notedefin"/>
        <w:jc w:val="both"/>
        <w:rPr>
          <w:sz w:val="24"/>
        </w:rPr>
      </w:pPr>
    </w:p>
    <w:p w:rsidR="00DE1490" w:rsidRDefault="00DE1490" w:rsidP="00DE1490">
      <w:pPr>
        <w:pStyle w:val="Notedefin"/>
        <w:jc w:val="both"/>
        <w:rPr>
          <w:sz w:val="24"/>
          <w:lang w:val="en-GB"/>
        </w:rPr>
      </w:pPr>
      <w:r>
        <w:rPr>
          <w:sz w:val="24"/>
          <w:lang w:val="en-GB"/>
        </w:rPr>
        <w:t>-</w:t>
      </w:r>
      <w:r>
        <w:rPr>
          <w:sz w:val="24"/>
          <w:lang w:val="en-GB"/>
        </w:rPr>
        <w:tab/>
      </w:r>
      <w:proofErr w:type="spellStart"/>
      <w:r>
        <w:rPr>
          <w:sz w:val="24"/>
          <w:lang w:val="en-GB"/>
        </w:rPr>
        <w:t>En</w:t>
      </w:r>
      <w:proofErr w:type="spellEnd"/>
      <w:r>
        <w:rPr>
          <w:sz w:val="24"/>
          <w:lang w:val="en-GB"/>
        </w:rPr>
        <w:t xml:space="preserve"> collaboration avec</w:t>
      </w:r>
      <w:r>
        <w:rPr>
          <w:smallCaps/>
          <w:sz w:val="24"/>
          <w:lang w:val="en-GB"/>
        </w:rPr>
        <w:t xml:space="preserve"> Kemp</w:t>
      </w:r>
      <w:r>
        <w:rPr>
          <w:sz w:val="24"/>
          <w:lang w:val="en-GB"/>
        </w:rPr>
        <w:t xml:space="preserve">, </w:t>
      </w:r>
      <w:proofErr w:type="gramStart"/>
      <w:r>
        <w:rPr>
          <w:sz w:val="24"/>
          <w:lang w:val="en-GB"/>
        </w:rPr>
        <w:t>William :</w:t>
      </w:r>
      <w:proofErr w:type="gramEnd"/>
      <w:r>
        <w:rPr>
          <w:sz w:val="24"/>
          <w:lang w:val="en-GB"/>
        </w:rPr>
        <w:t xml:space="preserve"> „John Frith’s </w:t>
      </w:r>
      <w:r>
        <w:rPr>
          <w:i/>
          <w:iCs/>
          <w:sz w:val="24"/>
          <w:lang w:val="en-GB"/>
        </w:rPr>
        <w:t xml:space="preserve">Antithesis of </w:t>
      </w:r>
      <w:proofErr w:type="spellStart"/>
      <w:r>
        <w:rPr>
          <w:i/>
          <w:iCs/>
          <w:sz w:val="24"/>
          <w:lang w:val="en-GB"/>
        </w:rPr>
        <w:t>Christes</w:t>
      </w:r>
      <w:proofErr w:type="spellEnd"/>
      <w:r>
        <w:rPr>
          <w:i/>
          <w:iCs/>
          <w:sz w:val="24"/>
          <w:lang w:val="en-GB"/>
        </w:rPr>
        <w:t xml:space="preserve"> </w:t>
      </w:r>
      <w:proofErr w:type="spellStart"/>
      <w:r>
        <w:rPr>
          <w:i/>
          <w:iCs/>
          <w:sz w:val="24"/>
          <w:lang w:val="en-GB"/>
        </w:rPr>
        <w:t>Actes</w:t>
      </w:r>
      <w:proofErr w:type="spellEnd"/>
      <w:r>
        <w:rPr>
          <w:i/>
          <w:iCs/>
          <w:sz w:val="24"/>
          <w:lang w:val="en-GB"/>
        </w:rPr>
        <w:t xml:space="preserve"> compared to the Popes</w:t>
      </w:r>
      <w:r>
        <w:rPr>
          <w:sz w:val="24"/>
          <w:lang w:val="en-GB"/>
        </w:rPr>
        <w:t xml:space="preserve"> (1529) in relation to Heinrich von </w:t>
      </w:r>
      <w:proofErr w:type="spellStart"/>
      <w:r>
        <w:rPr>
          <w:sz w:val="24"/>
          <w:lang w:val="en-GB"/>
        </w:rPr>
        <w:t>Kettenbach’s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i/>
          <w:iCs/>
          <w:sz w:val="24"/>
          <w:lang w:val="en-GB"/>
        </w:rPr>
        <w:t>Vergleychung</w:t>
      </w:r>
      <w:proofErr w:type="spellEnd"/>
      <w:r>
        <w:rPr>
          <w:sz w:val="24"/>
          <w:lang w:val="en-GB"/>
        </w:rPr>
        <w:t xml:space="preserve">”, </w:t>
      </w:r>
      <w:r>
        <w:rPr>
          <w:i/>
          <w:iCs/>
          <w:sz w:val="24"/>
          <w:lang w:val="en-GB"/>
        </w:rPr>
        <w:t>in</w:t>
      </w:r>
      <w:r>
        <w:rPr>
          <w:sz w:val="24"/>
          <w:lang w:val="en-GB"/>
        </w:rPr>
        <w:t xml:space="preserve"> : </w:t>
      </w:r>
      <w:r>
        <w:rPr>
          <w:i/>
          <w:iCs/>
          <w:sz w:val="24"/>
          <w:lang w:val="en-GB"/>
        </w:rPr>
        <w:t>Reformation</w:t>
      </w:r>
      <w:r>
        <w:rPr>
          <w:sz w:val="24"/>
          <w:lang w:val="en-GB"/>
        </w:rPr>
        <w:t xml:space="preserve"> 12 (2007), p. 33-68.</w:t>
      </w:r>
    </w:p>
    <w:p w:rsidR="00DE1490" w:rsidRDefault="00DE1490" w:rsidP="00DE1490">
      <w:pPr>
        <w:pStyle w:val="Notedefin"/>
        <w:jc w:val="both"/>
        <w:rPr>
          <w:sz w:val="24"/>
          <w:lang w:val="en-GB"/>
        </w:rPr>
      </w:pPr>
    </w:p>
    <w:p w:rsidR="00DE1490" w:rsidRDefault="00DE1490" w:rsidP="00DE1490">
      <w:pPr>
        <w:jc w:val="both"/>
      </w:pPr>
      <w:r>
        <w:lastRenderedPageBreak/>
        <w:t>-</w:t>
      </w:r>
      <w:r>
        <w:tab/>
        <w:t xml:space="preserve">« La réforme du mariage dans la communauté anabaptiste de Münster : quelle utopie ? », </w:t>
      </w:r>
      <w:r>
        <w:rPr>
          <w:i/>
          <w:iCs/>
        </w:rPr>
        <w:t>in</w:t>
      </w:r>
      <w:r>
        <w:t xml:space="preserve"> : </w:t>
      </w:r>
      <w:r>
        <w:rPr>
          <w:i/>
          <w:iCs/>
        </w:rPr>
        <w:t>CLIO, Histoire, Femmes et Sociétés</w:t>
      </w:r>
      <w:r>
        <w:t xml:space="preserve">, </w:t>
      </w:r>
      <w:r>
        <w:rPr>
          <w:i/>
          <w:iCs/>
        </w:rPr>
        <w:t>Variations</w:t>
      </w:r>
      <w:r>
        <w:t>, 24/2006, Presses Universitaires du Mirail, Toulouse, 2006, p. 27-57.</w:t>
      </w:r>
    </w:p>
    <w:p w:rsidR="00DE1490" w:rsidRDefault="00DE1490" w:rsidP="00DE1490">
      <w:pPr>
        <w:jc w:val="both"/>
      </w:pPr>
    </w:p>
    <w:p w:rsidR="00BD5FDD" w:rsidRPr="00FB6BA5" w:rsidRDefault="00DE1490" w:rsidP="00DE1490">
      <w:pPr>
        <w:jc w:val="both"/>
      </w:pPr>
      <w:r>
        <w:t>-</w:t>
      </w:r>
      <w:r>
        <w:tab/>
        <w:t>« </w:t>
      </w:r>
      <w:proofErr w:type="spellStart"/>
      <w:r>
        <w:t>Flugschriften</w:t>
      </w:r>
      <w:proofErr w:type="spellEnd"/>
      <w:r>
        <w:t xml:space="preserve"> et Réforme : Frère Henri et la Grand-mère (1523) », </w:t>
      </w:r>
      <w:r>
        <w:rPr>
          <w:i/>
          <w:iCs/>
        </w:rPr>
        <w:t>in</w:t>
      </w:r>
      <w:r>
        <w:t xml:space="preserve"> : </w:t>
      </w:r>
      <w:r>
        <w:rPr>
          <w:i/>
          <w:iCs/>
        </w:rPr>
        <w:t>L’Opinion publique dans les pays de langue allemande – Actes du 37è Congrès de l’Association des Germanistes de l’enseignement supérieur organisé à l’Université de Toulouse 2 – Le Mirail du 24 au 26 mai 2004</w:t>
      </w:r>
      <w:r>
        <w:t xml:space="preserve">, textes réunis par André </w:t>
      </w:r>
      <w:r>
        <w:rPr>
          <w:smallCaps/>
        </w:rPr>
        <w:t>Combes</w:t>
      </w:r>
      <w:r>
        <w:t xml:space="preserve"> et Françoise </w:t>
      </w:r>
      <w:proofErr w:type="spellStart"/>
      <w:r>
        <w:rPr>
          <w:smallCaps/>
        </w:rPr>
        <w:t>Knopper</w:t>
      </w:r>
      <w:proofErr w:type="spellEnd"/>
      <w:r>
        <w:t xml:space="preserve">, </w:t>
      </w:r>
      <w:proofErr w:type="spellStart"/>
      <w:r>
        <w:t>L’Harmattan</w:t>
      </w:r>
      <w:proofErr w:type="spellEnd"/>
      <w:r>
        <w:t>, Paris, 2006, p. 29-38.</w:t>
      </w:r>
    </w:p>
    <w:p w:rsidR="00BD5FDD" w:rsidRDefault="00BD5FDD" w:rsidP="00DE1490">
      <w:pPr>
        <w:jc w:val="both"/>
        <w:rPr>
          <w:iCs/>
        </w:rPr>
      </w:pPr>
    </w:p>
    <w:p w:rsidR="00DE1490" w:rsidRDefault="00DE1490" w:rsidP="00DE1490">
      <w:pPr>
        <w:jc w:val="both"/>
      </w:pPr>
      <w:r>
        <w:rPr>
          <w:iCs/>
        </w:rPr>
        <w:t>-</w:t>
      </w:r>
      <w:r>
        <w:rPr>
          <w:iCs/>
        </w:rPr>
        <w:tab/>
        <w:t>« Commune, Communauté : Martin Luther et le Communalisme »</w:t>
      </w:r>
      <w:r>
        <w:t xml:space="preserve">, </w:t>
      </w:r>
      <w:r>
        <w:rPr>
          <w:i/>
          <w:iCs/>
        </w:rPr>
        <w:t>in </w:t>
      </w:r>
      <w:r>
        <w:t xml:space="preserve">: </w:t>
      </w:r>
      <w:r>
        <w:rPr>
          <w:i/>
          <w:iCs/>
        </w:rPr>
        <w:t>Journal de la Renaissance</w:t>
      </w:r>
      <w:r>
        <w:t>, Volume II, 2004, p. 287-297.</w:t>
      </w:r>
    </w:p>
    <w:p w:rsidR="00DE1490" w:rsidRDefault="00DE1490" w:rsidP="00DE1490">
      <w:pPr>
        <w:jc w:val="both"/>
      </w:pPr>
    </w:p>
    <w:p w:rsidR="00DE1490" w:rsidRDefault="00DE1490" w:rsidP="00DE1490">
      <w:pPr>
        <w:jc w:val="both"/>
      </w:pPr>
      <w:r>
        <w:rPr>
          <w:i/>
        </w:rPr>
        <w:t>-</w:t>
      </w:r>
      <w:r>
        <w:rPr>
          <w:i/>
        </w:rPr>
        <w:tab/>
        <w:t>« "</w:t>
      </w:r>
      <w:proofErr w:type="spellStart"/>
      <w:r>
        <w:rPr>
          <w:i/>
        </w:rPr>
        <w:t>Schwärmer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Geist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Täufer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Ketzer</w:t>
      </w:r>
      <w:proofErr w:type="spellEnd"/>
      <w:r>
        <w:rPr>
          <w:i/>
        </w:rPr>
        <w:t xml:space="preserve">" </w:t>
      </w:r>
      <w:r>
        <w:rPr>
          <w:iCs/>
        </w:rPr>
        <w:t>: de l'allié au criminel (1522-1550)</w:t>
      </w:r>
      <w:r>
        <w:t xml:space="preserve"> », </w:t>
      </w:r>
      <w:r>
        <w:rPr>
          <w:i/>
          <w:iCs/>
        </w:rPr>
        <w:t>in</w:t>
      </w:r>
      <w:r>
        <w:t xml:space="preserve"> : </w:t>
      </w:r>
      <w:r>
        <w:rPr>
          <w:i/>
        </w:rPr>
        <w:t>Bulletin de la Société de l'Histoire du Protestantisme Français</w:t>
      </w:r>
      <w:r>
        <w:t xml:space="preserve">, Tome 148, Janvier- février – mars 2002, Actes de la journée d'étude : </w:t>
      </w:r>
      <w:r>
        <w:rPr>
          <w:i/>
        </w:rPr>
        <w:t>Anabaptismes – de l'exclusion à la reconnaissance</w:t>
      </w:r>
      <w:r>
        <w:t xml:space="preserve"> (17.03.2001), réunis par Catherine </w:t>
      </w:r>
      <w:r>
        <w:rPr>
          <w:smallCaps/>
        </w:rPr>
        <w:t>Dejeumont</w:t>
      </w:r>
      <w:r>
        <w:t xml:space="preserve"> et Bernard </w:t>
      </w:r>
      <w:r>
        <w:rPr>
          <w:smallCaps/>
        </w:rPr>
        <w:t>Roussel</w:t>
      </w:r>
      <w:r>
        <w:t>, p. 21-44.</w:t>
      </w:r>
    </w:p>
    <w:p w:rsidR="00DE1490" w:rsidRDefault="00DE1490" w:rsidP="00DE1490">
      <w:pPr>
        <w:jc w:val="both"/>
      </w:pPr>
    </w:p>
    <w:p w:rsidR="00DE1490" w:rsidRDefault="00DE1490" w:rsidP="00DE1490">
      <w:pPr>
        <w:jc w:val="both"/>
      </w:pPr>
      <w:r>
        <w:rPr>
          <w:iCs/>
        </w:rPr>
        <w:t>-</w:t>
      </w:r>
      <w:r>
        <w:rPr>
          <w:iCs/>
        </w:rPr>
        <w:tab/>
        <w:t xml:space="preserve">« Le </w:t>
      </w:r>
      <w:proofErr w:type="spellStart"/>
      <w:r>
        <w:rPr>
          <w:iCs/>
        </w:rPr>
        <w:t>Septembertestament</w:t>
      </w:r>
      <w:proofErr w:type="spellEnd"/>
      <w:r>
        <w:rPr>
          <w:iCs/>
        </w:rPr>
        <w:t xml:space="preserve"> (1522) - Martin Luther et la langue allemande »</w:t>
      </w:r>
      <w:r>
        <w:t xml:space="preserve">, </w:t>
      </w:r>
      <w:r>
        <w:rPr>
          <w:i/>
          <w:iCs/>
        </w:rPr>
        <w:t>in</w:t>
      </w:r>
      <w:r>
        <w:t xml:space="preserve"> : </w:t>
      </w:r>
      <w:r>
        <w:rPr>
          <w:i/>
        </w:rPr>
        <w:t>Luther et la Réforme – du Commentaire de l'Epître aux Romains à la Messe allemande</w:t>
      </w:r>
      <w:r>
        <w:t xml:space="preserve">, sous la direction de Jean-Marie </w:t>
      </w:r>
      <w:r>
        <w:rPr>
          <w:smallCaps/>
        </w:rPr>
        <w:t>Valentin</w:t>
      </w:r>
      <w:r>
        <w:t xml:space="preserve">, </w:t>
      </w:r>
      <w:proofErr w:type="spellStart"/>
      <w:r>
        <w:t>Desjonquères</w:t>
      </w:r>
      <w:proofErr w:type="spellEnd"/>
      <w:r>
        <w:t>, Paris, 2001, p. 169-187.</w:t>
      </w:r>
    </w:p>
    <w:p w:rsidR="00DE1490" w:rsidRDefault="00DE1490" w:rsidP="00DE1490">
      <w:pPr>
        <w:jc w:val="both"/>
      </w:pPr>
    </w:p>
    <w:p w:rsidR="00DE1490" w:rsidRDefault="00BD5FDD" w:rsidP="00DE1490">
      <w:pPr>
        <w:jc w:val="both"/>
      </w:pPr>
      <w:r>
        <w:t>-</w:t>
      </w:r>
      <w:r>
        <w:tab/>
        <w:t xml:space="preserve">Martin Bucer : « Dialogue entre un maire et un curé […] » (1521) : Traduction et commentaire </w:t>
      </w:r>
      <w:r w:rsidRPr="00BD5FDD">
        <w:rPr>
          <w:i/>
        </w:rPr>
        <w:t>in</w:t>
      </w:r>
      <w:r>
        <w:t xml:space="preserve"> : </w:t>
      </w:r>
      <w:r w:rsidRPr="007F4A37">
        <w:rPr>
          <w:i/>
        </w:rPr>
        <w:t>Paroles d’</w:t>
      </w:r>
      <w:r w:rsidR="007F4A37" w:rsidRPr="007F4A37">
        <w:rPr>
          <w:i/>
        </w:rPr>
        <w:t>É</w:t>
      </w:r>
      <w:r w:rsidRPr="007F4A37">
        <w:rPr>
          <w:i/>
        </w:rPr>
        <w:t xml:space="preserve">vangile (quatre pamphlets allemands des années 1520 : Martin Bucer, Christian </w:t>
      </w:r>
      <w:proofErr w:type="spellStart"/>
      <w:r w:rsidRPr="007F4A37">
        <w:rPr>
          <w:i/>
        </w:rPr>
        <w:t>Entfelder</w:t>
      </w:r>
      <w:proofErr w:type="spellEnd"/>
      <w:r w:rsidRPr="007F4A37">
        <w:rPr>
          <w:i/>
        </w:rPr>
        <w:t xml:space="preserve">, </w:t>
      </w:r>
      <w:proofErr w:type="spellStart"/>
      <w:r w:rsidRPr="007F4A37">
        <w:rPr>
          <w:i/>
        </w:rPr>
        <w:t>Argula</w:t>
      </w:r>
      <w:proofErr w:type="spellEnd"/>
      <w:r w:rsidRPr="007F4A37">
        <w:rPr>
          <w:i/>
        </w:rPr>
        <w:t xml:space="preserve"> </w:t>
      </w:r>
      <w:proofErr w:type="spellStart"/>
      <w:r w:rsidRPr="007F4A37">
        <w:rPr>
          <w:i/>
        </w:rPr>
        <w:t>von</w:t>
      </w:r>
      <w:proofErr w:type="spellEnd"/>
      <w:r w:rsidRPr="007F4A37">
        <w:rPr>
          <w:i/>
        </w:rPr>
        <w:t xml:space="preserve"> </w:t>
      </w:r>
      <w:proofErr w:type="spellStart"/>
      <w:r w:rsidRPr="007F4A37">
        <w:rPr>
          <w:i/>
        </w:rPr>
        <w:t>Grumbach</w:t>
      </w:r>
      <w:proofErr w:type="spellEnd"/>
      <w:r w:rsidRPr="007F4A37">
        <w:rPr>
          <w:i/>
        </w:rPr>
        <w:t xml:space="preserve">, Andreas </w:t>
      </w:r>
      <w:proofErr w:type="spellStart"/>
      <w:r w:rsidRPr="007F4A37">
        <w:rPr>
          <w:i/>
        </w:rPr>
        <w:t>Karlstadt</w:t>
      </w:r>
      <w:proofErr w:type="spellEnd"/>
      <w:r w:rsidRPr="007F4A37">
        <w:rPr>
          <w:i/>
        </w:rPr>
        <w:t>)</w:t>
      </w:r>
      <w:r>
        <w:t xml:space="preserve">, textes réunis et publiés par Marianne </w:t>
      </w:r>
      <w:r w:rsidR="007F4A37" w:rsidRPr="007F4A37">
        <w:rPr>
          <w:smallCaps/>
        </w:rPr>
        <w:t>Ruel Robins</w:t>
      </w:r>
      <w:r>
        <w:t>, Presses de la Sorbonne, Paris, 1996, p. 7-43.</w:t>
      </w:r>
    </w:p>
    <w:p w:rsidR="00DE1490" w:rsidRDefault="00DE1490" w:rsidP="00DE1490">
      <w:pPr>
        <w:jc w:val="both"/>
      </w:pPr>
    </w:p>
    <w:p w:rsidR="00BD5FDD" w:rsidRDefault="00BD5FDD" w:rsidP="00DE1490">
      <w:pPr>
        <w:jc w:val="both"/>
      </w:pPr>
    </w:p>
    <w:p w:rsidR="00DE1490" w:rsidRDefault="002B4DB2" w:rsidP="00DE1490">
      <w:pPr>
        <w:jc w:val="both"/>
      </w:pPr>
      <w:r>
        <w:t>[Paris, avril 2017</w:t>
      </w:r>
      <w:r w:rsidR="00DE1490">
        <w:t>]</w:t>
      </w:r>
    </w:p>
    <w:p w:rsidR="00DE1490" w:rsidRDefault="00DE1490" w:rsidP="00DE1490">
      <w:pPr>
        <w:jc w:val="both"/>
      </w:pPr>
    </w:p>
    <w:p w:rsidR="00DE1490" w:rsidRDefault="00DE1490" w:rsidP="00DE1490">
      <w:pPr>
        <w:jc w:val="right"/>
      </w:pPr>
    </w:p>
    <w:p w:rsidR="00DE1490" w:rsidRDefault="00DE1490" w:rsidP="00DE1490"/>
    <w:p w:rsidR="009F4994" w:rsidRDefault="00F97F59"/>
    <w:sectPr w:rsidR="009F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90"/>
    <w:rsid w:val="00115913"/>
    <w:rsid w:val="00203389"/>
    <w:rsid w:val="002B4DB2"/>
    <w:rsid w:val="00371B05"/>
    <w:rsid w:val="00391ADE"/>
    <w:rsid w:val="007D57AE"/>
    <w:rsid w:val="007F4A37"/>
    <w:rsid w:val="009B46A3"/>
    <w:rsid w:val="00BD5FDD"/>
    <w:rsid w:val="00DE1490"/>
    <w:rsid w:val="00EA4994"/>
    <w:rsid w:val="00EE5D13"/>
    <w:rsid w:val="00F252B8"/>
    <w:rsid w:val="00F45304"/>
    <w:rsid w:val="00F64B3D"/>
    <w:rsid w:val="00F97F59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0C735-6443-4079-8C6C-7A756EAC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E1490"/>
    <w:pPr>
      <w:keepNext/>
      <w:jc w:val="both"/>
      <w:outlineLvl w:val="1"/>
    </w:pPr>
    <w:rPr>
      <w:rFonts w:ascii="Arial Narrow" w:hAnsi="Arial Narrow"/>
      <w:sz w:val="2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DE1490"/>
    <w:rPr>
      <w:rFonts w:ascii="Arial Narrow" w:eastAsia="Times New Roman" w:hAnsi="Arial Narrow" w:cs="Times New Roman"/>
      <w:szCs w:val="20"/>
      <w:u w:val="single"/>
      <w:lang w:eastAsia="fr-FR"/>
    </w:rPr>
  </w:style>
  <w:style w:type="character" w:styleId="Lienhypertexte">
    <w:name w:val="Hyperlink"/>
    <w:basedOn w:val="Policepardfaut"/>
    <w:semiHidden/>
    <w:unhideWhenUsed/>
    <w:rsid w:val="00DE1490"/>
    <w:rPr>
      <w:color w:val="0000FF"/>
      <w:u w:val="single"/>
    </w:rPr>
  </w:style>
  <w:style w:type="paragraph" w:styleId="Notedefin">
    <w:name w:val="endnote text"/>
    <w:basedOn w:val="Normal"/>
    <w:link w:val="NotedefinCar"/>
    <w:semiHidden/>
    <w:unhideWhenUsed/>
    <w:rsid w:val="00DE149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DE14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DE1490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E1490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Dejeumont</dc:creator>
  <cp:keywords/>
  <dc:description/>
  <cp:lastModifiedBy>Catherine Dejeumont</cp:lastModifiedBy>
  <cp:revision>2</cp:revision>
  <dcterms:created xsi:type="dcterms:W3CDTF">2017-04-25T18:51:00Z</dcterms:created>
  <dcterms:modified xsi:type="dcterms:W3CDTF">2017-04-25T18:51:00Z</dcterms:modified>
</cp:coreProperties>
</file>