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C5666" w:rsidRPr="00780B38" w:rsidRDefault="008C5666" w:rsidP="008C5666">
      <w:pPr>
        <w:spacing w:before="60" w:after="60"/>
        <w:ind w:right="-22"/>
        <w:rPr>
          <w:rFonts w:ascii="Times New Roman" w:hAnsi="Times New Roman"/>
          <w:sz w:val="22"/>
        </w:rPr>
      </w:pPr>
      <w:r w:rsidRPr="00780B38">
        <w:rPr>
          <w:rFonts w:ascii="Times New Roman" w:hAnsi="Times New Roman"/>
          <w:b/>
          <w:sz w:val="22"/>
        </w:rPr>
        <w:t>Participation à des ouvrages collectifs</w:t>
      </w:r>
      <w:r w:rsidRPr="00780B38">
        <w:rPr>
          <w:rFonts w:ascii="Times New Roman" w:hAnsi="Times New Roman"/>
          <w:sz w:val="22"/>
        </w:rPr>
        <w:t>.</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"Du droit des gens à la guerre de conquête 1792-1795" dans </w:t>
      </w:r>
      <w:r w:rsidRPr="00780B38">
        <w:rPr>
          <w:rFonts w:ascii="Times New Roman" w:hAnsi="Times New Roman"/>
          <w:i/>
          <w:sz w:val="22"/>
        </w:rPr>
        <w:t>La République</w:t>
      </w:r>
      <w:r w:rsidRPr="00780B38">
        <w:rPr>
          <w:rFonts w:ascii="Times New Roman" w:hAnsi="Times New Roman"/>
          <w:sz w:val="22"/>
        </w:rPr>
        <w:t xml:space="preserve">, </w:t>
      </w:r>
      <w:r w:rsidRPr="00780B38">
        <w:rPr>
          <w:rFonts w:ascii="Times New Roman" w:hAnsi="Times New Roman"/>
          <w:i/>
          <w:sz w:val="22"/>
        </w:rPr>
        <w:t>L’exception française Actes du colloque du bicentenaire de la République 1992</w:t>
      </w:r>
      <w:r w:rsidRPr="00780B38">
        <w:rPr>
          <w:rFonts w:ascii="Times New Roman" w:hAnsi="Times New Roman"/>
          <w:sz w:val="22"/>
        </w:rPr>
        <w:t>, Paris, 1994, p. 457-466.</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"Robespierre et la guerre de conquête" dans</w:t>
      </w:r>
      <w:r w:rsidRPr="00780B38">
        <w:rPr>
          <w:rFonts w:ascii="Times New Roman" w:hAnsi="Times New Roman"/>
          <w:i/>
          <w:sz w:val="22"/>
        </w:rPr>
        <w:t xml:space="preserve"> Robespierre : de la Nation artésienne à la République et aux Nations</w:t>
      </w:r>
      <w:r w:rsidRPr="00780B38">
        <w:rPr>
          <w:rFonts w:ascii="Times New Roman" w:hAnsi="Times New Roman"/>
          <w:sz w:val="22"/>
        </w:rPr>
        <w:t>, Lille, 1994, p. 349-358.</w:t>
      </w:r>
    </w:p>
    <w:p w:rsidR="008C5666" w:rsidRPr="00780B38" w:rsidRDefault="008C5666" w:rsidP="008C5666">
      <w:pPr>
        <w:spacing w:before="60" w:after="60"/>
        <w:ind w:right="-22"/>
        <w:jc w:val="both"/>
        <w:rPr>
          <w:rFonts w:ascii="Times New Roman" w:hAnsi="Times New Roman"/>
          <w:sz w:val="22"/>
        </w:rPr>
      </w:pPr>
      <w:bookmarkStart w:id="0" w:name="OLE_LINK1"/>
      <w:r w:rsidRPr="00780B38">
        <w:rPr>
          <w:rFonts w:ascii="Times New Roman" w:hAnsi="Times New Roman"/>
          <w:sz w:val="22"/>
        </w:rPr>
        <w:t xml:space="preserve">"Le Droit des Gens dans le débat constitutionnel de 1793" dans </w:t>
      </w:r>
      <w:r w:rsidRPr="00780B38">
        <w:rPr>
          <w:rFonts w:ascii="Times New Roman" w:hAnsi="Times New Roman"/>
          <w:i/>
          <w:sz w:val="22"/>
        </w:rPr>
        <w:t>l’An I et l’apprentissage de la démocratie</w:t>
      </w:r>
      <w:r w:rsidRPr="00780B38">
        <w:rPr>
          <w:rFonts w:ascii="Times New Roman" w:hAnsi="Times New Roman"/>
          <w:sz w:val="22"/>
        </w:rPr>
        <w:t>, Paris, Saint-Denis, 1995</w:t>
      </w:r>
      <w:bookmarkEnd w:id="0"/>
      <w:r w:rsidRPr="00780B38">
        <w:rPr>
          <w:rFonts w:ascii="Times New Roman" w:hAnsi="Times New Roman"/>
          <w:sz w:val="22"/>
        </w:rPr>
        <w:t>, p. 97-106.</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"Déclarer la guerre au Stadhouder ou à la nation hollandaise ? Le débat politique sur la déclaration de guerre à la Hollande" (1793) dans </w:t>
      </w:r>
      <w:r w:rsidRPr="00780B38">
        <w:rPr>
          <w:rFonts w:ascii="Times New Roman" w:hAnsi="Times New Roman"/>
          <w:i/>
          <w:sz w:val="22"/>
        </w:rPr>
        <w:t>Remous révolutionnaires : République batave et armée française</w:t>
      </w:r>
      <w:r w:rsidRPr="00780B38">
        <w:rPr>
          <w:rFonts w:ascii="Times New Roman" w:hAnsi="Times New Roman"/>
          <w:sz w:val="22"/>
        </w:rPr>
        <w:t>, Annie Jourdan, Joost Rosendaal (dir.), Amsterdam University Press, 1996, p. 69-80.</w:t>
      </w:r>
    </w:p>
    <w:p w:rsidR="008C5666" w:rsidRPr="00780B38" w:rsidRDefault="008C5666" w:rsidP="008C5666">
      <w:pPr>
        <w:spacing w:before="60" w:after="60"/>
        <w:ind w:right="-22"/>
        <w:jc w:val="both"/>
        <w:rPr>
          <w:rFonts w:ascii="Times New Roman" w:hAnsi="Times New Roman"/>
          <w:i/>
          <w:sz w:val="22"/>
        </w:rPr>
      </w:pPr>
      <w:r w:rsidRPr="00780B38">
        <w:rPr>
          <w:rFonts w:ascii="Times New Roman" w:hAnsi="Times New Roman"/>
          <w:sz w:val="22"/>
        </w:rPr>
        <w:t xml:space="preserve">"L’armée permanente et la politique de puissance dans le débat constitutionnel américain de 1787" dans </w:t>
      </w:r>
      <w:r w:rsidRPr="00780B38">
        <w:rPr>
          <w:rFonts w:ascii="Times New Roman" w:hAnsi="Times New Roman"/>
          <w:i/>
          <w:sz w:val="22"/>
        </w:rPr>
        <w:t>Aux armes citoyens ! Conscription et armée de métier des Grecs à nos jours</w:t>
      </w:r>
      <w:r w:rsidRPr="00780B38">
        <w:rPr>
          <w:rFonts w:ascii="Times New Roman" w:hAnsi="Times New Roman"/>
          <w:sz w:val="22"/>
        </w:rPr>
        <w:t xml:space="preserve"> Maurice Vaïsse dir., (avec une préface du ministre de la Défense Alain Richard), Paris, Armand Colin, 1998, p. 109-117.</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Contribution à l’</w:t>
      </w:r>
      <w:r w:rsidRPr="00780B38">
        <w:rPr>
          <w:rFonts w:ascii="Times New Roman" w:hAnsi="Times New Roman"/>
          <w:i/>
          <w:sz w:val="22"/>
        </w:rPr>
        <w:t>Encyclopédie d’Histoire. La France et les Français</w:t>
      </w:r>
      <w:r w:rsidRPr="00780B38">
        <w:rPr>
          <w:rFonts w:ascii="Times New Roman" w:hAnsi="Times New Roman"/>
          <w:sz w:val="22"/>
        </w:rPr>
        <w:t> : Aboukir (bataille navale d’), Aboukir (bataille terrestre d’), Argenson (comte d’), Argenson (marquis d’), Amiens (paix d’), l’Ami du Peuple, Arcole (bataille d’), Bâle (traités de), Campo-Formio (traité de), Clichyens, constitutions consulaires et impériales, Desaix, droit naturel, École de Mars, Famille (pacte de), France (campagne de), Friedland (bataille de), frontières naturelles, Grande Armée, indépendance américaine (guerre d’), Iéna (bataille d’), Leclerc (Victor Emmanuel), Leipzig (bataille de), levée en masse, Lunéville (traité de), mamelouks, Monaco (principauté de), Montbéliard (principauté de), Comté de Nice, paix perpétuelle (projets de), Patrie en danger, Pétion, Pichegru, Pillnitz (entrevue de), Plaine (ou Marais), Prairial an III (journées de), Républiques-sœurs, Réveillon (affaire), Savoie, Soissons (congrès de), Toulon (siège de), Valmy (bataille de), Varennes (fuite à), Volney, Wagram (bataille de), Wattignies (bataille de). Paris, Bordas, 1999.</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"La guerre de course dans les débats parlementaires" dans </w:t>
      </w:r>
      <w:r w:rsidRPr="00780B38">
        <w:rPr>
          <w:rFonts w:ascii="Times New Roman" w:hAnsi="Times New Roman"/>
          <w:i/>
          <w:sz w:val="22"/>
        </w:rPr>
        <w:t>La Révolution française : la guerre et la frontière</w:t>
      </w:r>
      <w:r w:rsidRPr="00780B38">
        <w:rPr>
          <w:rFonts w:ascii="Times New Roman" w:hAnsi="Times New Roman"/>
          <w:sz w:val="22"/>
        </w:rPr>
        <w:t>, CTHS, 2000.</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"Les projets de paix perpétuelle de l’abbé de Saint-Pierre à Jeremy Bentham", dans </w:t>
      </w:r>
      <w:r w:rsidRPr="00780B38">
        <w:rPr>
          <w:rFonts w:ascii="Times New Roman" w:hAnsi="Times New Roman"/>
          <w:i/>
          <w:sz w:val="22"/>
        </w:rPr>
        <w:t>La cara oculta de la razon : locura, creencia y utopia</w:t>
      </w:r>
      <w:r w:rsidRPr="00780B38">
        <w:rPr>
          <w:rFonts w:ascii="Times New Roman" w:hAnsi="Times New Roman"/>
          <w:sz w:val="22"/>
        </w:rPr>
        <w:t>, Cinta Canterla Gonzàlez (dir.), Universidad de Cadiz, Servicios de publicaciones, 2001, p. 61-74.</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"Les stratégies de la Contre-révolution. L’exemple du débat au Parlement anglais (1792-1794)" dans </w:t>
      </w:r>
      <w:r w:rsidRPr="00780B38">
        <w:rPr>
          <w:rFonts w:ascii="Times New Roman" w:hAnsi="Times New Roman"/>
          <w:i/>
          <w:sz w:val="22"/>
        </w:rPr>
        <w:t>La Contre-révolution en Europe XVIIIe — XIXe siècle</w:t>
      </w:r>
      <w:r w:rsidRPr="00780B38">
        <w:rPr>
          <w:rFonts w:ascii="Times New Roman" w:hAnsi="Times New Roman"/>
          <w:sz w:val="22"/>
        </w:rPr>
        <w:t>, Jean Clément Martin (dir.), Actes du colloque de Cholet, Presses Universitaires de Rennes, 2001, p. 163-173.</w:t>
      </w:r>
    </w:p>
    <w:p w:rsidR="008C5666"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"The Revolutionary Period : 1789-1802" (avec Patrice Leclercq) dans </w:t>
      </w:r>
      <w:r w:rsidRPr="00780B38">
        <w:rPr>
          <w:rFonts w:ascii="Times New Roman" w:hAnsi="Times New Roman"/>
          <w:i/>
          <w:sz w:val="22"/>
        </w:rPr>
        <w:t xml:space="preserve">War, peace and World Orders, </w:t>
      </w:r>
      <w:r w:rsidRPr="00780B38">
        <w:rPr>
          <w:rFonts w:ascii="Times New Roman" w:hAnsi="Times New Roman"/>
          <w:sz w:val="22"/>
        </w:rPr>
        <w:t>ed. by Anna V. Hartmann and Beatrice Heuser, Londres, Routledge, 2001, p. 203-213.</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"Bonaparte et la paix" dans </w:t>
      </w:r>
      <w:r w:rsidRPr="00780B38">
        <w:rPr>
          <w:rFonts w:ascii="Times New Roman" w:hAnsi="Times New Roman"/>
          <w:i/>
          <w:sz w:val="22"/>
        </w:rPr>
        <w:t>Du Directoire au Consulat</w:t>
      </w:r>
      <w:r w:rsidRPr="00780B38">
        <w:rPr>
          <w:rFonts w:ascii="Times New Roman" w:hAnsi="Times New Roman"/>
          <w:sz w:val="22"/>
        </w:rPr>
        <w:t>, Table ronde des journées de Rouen, vol. 3, 2001, p. 615-630.</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"Friedrich von Gentz, la Révolution française et la reconstruction de l’ordre européen en 1800" dans </w:t>
      </w:r>
      <w:r w:rsidRPr="00780B38">
        <w:rPr>
          <w:rFonts w:ascii="Times New Roman" w:hAnsi="Times New Roman"/>
          <w:i/>
          <w:sz w:val="22"/>
        </w:rPr>
        <w:t>La Plume et le Sabre</w:t>
      </w:r>
      <w:r w:rsidRPr="00780B38">
        <w:rPr>
          <w:rFonts w:ascii="Times New Roman" w:hAnsi="Times New Roman"/>
          <w:sz w:val="22"/>
        </w:rPr>
        <w:t>, Mélanges offerts à Jean-Paul Bertaud, Paris, Publications de la Sorbonne, 2002, p. 421-430.</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"Projets de paix perpétuelle" dans </w:t>
      </w:r>
      <w:r w:rsidRPr="00780B38">
        <w:rPr>
          <w:rFonts w:ascii="Times New Roman" w:hAnsi="Times New Roman"/>
          <w:i/>
          <w:sz w:val="22"/>
        </w:rPr>
        <w:t>Dictionnaire critique des utopies</w:t>
      </w:r>
      <w:r w:rsidRPr="00780B38">
        <w:rPr>
          <w:rFonts w:ascii="Times New Roman" w:hAnsi="Times New Roman"/>
          <w:sz w:val="22"/>
        </w:rPr>
        <w:t>, dirigé par Michelle Riot-Sarcey, Paris, Larousse — Bordas, 2002.</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"Les conséquences de la Révolution française sur l’ordre européen d’après les écrivains contre-révolutionnaires 1795-1800" dans </w:t>
      </w:r>
      <w:r w:rsidRPr="00780B38">
        <w:rPr>
          <w:rFonts w:ascii="Times New Roman" w:hAnsi="Times New Roman"/>
          <w:i/>
          <w:sz w:val="22"/>
        </w:rPr>
        <w:t xml:space="preserve">La Révolution française : idéaux, singularités, influences, Vizille 2001, </w:t>
      </w:r>
      <w:r w:rsidRPr="00780B38">
        <w:rPr>
          <w:rFonts w:ascii="Times New Roman" w:hAnsi="Times New Roman"/>
          <w:sz w:val="22"/>
        </w:rPr>
        <w:t>Presses Universitaires de Grenoble, 2002, p. 205-218.</w:t>
      </w:r>
    </w:p>
    <w:p w:rsidR="008C5666" w:rsidRPr="00780B38" w:rsidRDefault="008C5666" w:rsidP="008C5666">
      <w:pPr>
        <w:spacing w:before="60" w:after="60"/>
        <w:ind w:right="-22"/>
        <w:jc w:val="both"/>
        <w:rPr>
          <w:rFonts w:ascii="Times New Roman" w:hAnsi="Times New Roman"/>
          <w:i/>
          <w:sz w:val="22"/>
        </w:rPr>
      </w:pPr>
      <w:r w:rsidRPr="00780B38">
        <w:rPr>
          <w:rFonts w:ascii="Times New Roman" w:hAnsi="Times New Roman"/>
          <w:sz w:val="22"/>
        </w:rPr>
        <w:t xml:space="preserve">"Montesquieu, </w:t>
      </w:r>
      <w:r w:rsidRPr="00780B38">
        <w:rPr>
          <w:rFonts w:ascii="Times New Roman" w:hAnsi="Times New Roman"/>
          <w:i/>
          <w:sz w:val="22"/>
        </w:rPr>
        <w:t>L’Esprit des Lois</w:t>
      </w:r>
      <w:r w:rsidRPr="00780B38">
        <w:rPr>
          <w:rFonts w:ascii="Times New Roman" w:hAnsi="Times New Roman"/>
          <w:sz w:val="22"/>
        </w:rPr>
        <w:t xml:space="preserve"> et le droit des gens" dans </w:t>
      </w:r>
      <w:r w:rsidRPr="00780B38">
        <w:rPr>
          <w:rFonts w:ascii="Times New Roman" w:hAnsi="Times New Roman"/>
          <w:i/>
          <w:sz w:val="22"/>
        </w:rPr>
        <w:t>Le Temps de Montesquieu</w:t>
      </w:r>
      <w:r w:rsidRPr="00780B38">
        <w:rPr>
          <w:rFonts w:ascii="Times New Roman" w:hAnsi="Times New Roman"/>
          <w:sz w:val="22"/>
        </w:rPr>
        <w:t xml:space="preserve">, </w:t>
      </w:r>
      <w:r w:rsidRPr="00780B38">
        <w:rPr>
          <w:rFonts w:ascii="Times New Roman" w:hAnsi="Times New Roman"/>
          <w:i/>
          <w:sz w:val="22"/>
        </w:rPr>
        <w:t xml:space="preserve">Actes du colloque de Genève pour le deux cent cinquantenaire de </w:t>
      </w:r>
      <w:r w:rsidRPr="00780B38">
        <w:rPr>
          <w:rFonts w:ascii="Times New Roman" w:hAnsi="Times New Roman"/>
          <w:sz w:val="22"/>
        </w:rPr>
        <w:t>L’Esprit des Lois, publié par Michel Porret et Catherine Volpilhac-Auger, Genève, Droz, 2002, p. 171-186.</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"Peace Treaties, Bonne Foi and European civility in the Enlightment" dans </w:t>
      </w:r>
      <w:r w:rsidRPr="00780B38">
        <w:rPr>
          <w:rFonts w:ascii="Times New Roman" w:hAnsi="Times New Roman"/>
          <w:i/>
          <w:sz w:val="22"/>
        </w:rPr>
        <w:t>Peace treaties and International Law in History</w:t>
      </w:r>
      <w:r w:rsidRPr="00780B38">
        <w:rPr>
          <w:rFonts w:ascii="Times New Roman" w:hAnsi="Times New Roman"/>
          <w:sz w:val="22"/>
        </w:rPr>
        <w:t>,</w:t>
      </w:r>
      <w:r w:rsidRPr="00780B38">
        <w:rPr>
          <w:rFonts w:ascii="Times New Roman" w:hAnsi="Times New Roman"/>
          <w:i/>
          <w:sz w:val="22"/>
        </w:rPr>
        <w:t xml:space="preserve"> </w:t>
      </w:r>
      <w:r w:rsidRPr="00780B38">
        <w:rPr>
          <w:rFonts w:ascii="Times New Roman" w:hAnsi="Times New Roman"/>
          <w:sz w:val="22"/>
        </w:rPr>
        <w:t>Randall Lesaffer (dir.),</w:t>
      </w:r>
      <w:r w:rsidRPr="00780B38">
        <w:rPr>
          <w:rFonts w:ascii="Times New Roman" w:hAnsi="Times New Roman"/>
          <w:i/>
          <w:sz w:val="22"/>
        </w:rPr>
        <w:t xml:space="preserve"> </w:t>
      </w:r>
      <w:r w:rsidRPr="00780B38">
        <w:rPr>
          <w:rFonts w:ascii="Times New Roman" w:hAnsi="Times New Roman"/>
          <w:sz w:val="22"/>
        </w:rPr>
        <w:t>Cambridge Univeristy Press, Cambridge, 2004, p. 241-253.</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color w:val="000000"/>
          <w:sz w:val="22"/>
        </w:rPr>
        <w:t xml:space="preserve">"Révoltes et Révolution en Angleterre et en Irlande, 1773-1802", dans </w:t>
      </w:r>
      <w:r w:rsidRPr="00780B38">
        <w:rPr>
          <w:rFonts w:ascii="Times New Roman" w:hAnsi="Times New Roman"/>
          <w:i/>
          <w:color w:val="000000"/>
          <w:sz w:val="22"/>
        </w:rPr>
        <w:t>Révoltes et Révolutions en Europe et aux Amériques, 1773-1802</w:t>
      </w:r>
      <w:r w:rsidRPr="00780B38">
        <w:rPr>
          <w:rFonts w:ascii="Times New Roman" w:hAnsi="Times New Roman"/>
          <w:color w:val="000000"/>
          <w:sz w:val="22"/>
        </w:rPr>
        <w:t>, Éditions du Temps, 2004, p. 107-125.</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color w:val="000000"/>
          <w:sz w:val="22"/>
        </w:rPr>
        <w:t xml:space="preserve">"Fraternité Universelle dans les révolutions de la fin du XVIIIe siècle" dans </w:t>
      </w:r>
      <w:r w:rsidRPr="00780B38">
        <w:rPr>
          <w:rFonts w:ascii="Times New Roman" w:hAnsi="Times New Roman"/>
          <w:i/>
          <w:color w:val="000000"/>
          <w:sz w:val="22"/>
        </w:rPr>
        <w:t>Révoltes et Révolutions en Europe et aux Amériques, 1773-1802</w:t>
      </w:r>
      <w:r w:rsidRPr="00780B38">
        <w:rPr>
          <w:rFonts w:ascii="Times New Roman" w:hAnsi="Times New Roman"/>
          <w:color w:val="000000"/>
          <w:sz w:val="22"/>
        </w:rPr>
        <w:t>, Ellipses, 2004, p. 147-163.</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color w:val="000000"/>
          <w:sz w:val="22"/>
        </w:rPr>
        <w:t xml:space="preserve">"Les révolutions de la fin du XVIIIe siècle et l’ordre international" dans </w:t>
      </w:r>
      <w:r w:rsidRPr="00780B38">
        <w:rPr>
          <w:rFonts w:ascii="Times New Roman" w:hAnsi="Times New Roman"/>
          <w:i/>
          <w:color w:val="000000"/>
          <w:sz w:val="22"/>
        </w:rPr>
        <w:t>Révoltes et Révolutions en Europe et aux Amériques, 1773-1802</w:t>
      </w:r>
      <w:r w:rsidRPr="00780B38">
        <w:rPr>
          <w:rFonts w:ascii="Times New Roman" w:hAnsi="Times New Roman"/>
          <w:color w:val="000000"/>
          <w:sz w:val="22"/>
        </w:rPr>
        <w:t>, Bulletin de l’Association des Historiens modernistes, Publications de la Sorbonne, 2005, p. 69-80.</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sz w:val="22"/>
        </w:rPr>
        <w:t xml:space="preserve">"Les patriotes européens et l’ordre républicain cosmopolitique, 1795-1802" dans </w:t>
      </w:r>
      <w:r w:rsidRPr="00780B38">
        <w:rPr>
          <w:rFonts w:ascii="Times New Roman" w:hAnsi="Times New Roman"/>
          <w:i/>
          <w:sz w:val="22"/>
        </w:rPr>
        <w:t>Cosmopolitisme, Patriotisme, Europe, Amériques, 1776-1802</w:t>
      </w:r>
      <w:r w:rsidRPr="00780B38">
        <w:rPr>
          <w:rFonts w:ascii="Times New Roman" w:hAnsi="Times New Roman"/>
          <w:sz w:val="22"/>
        </w:rPr>
        <w:t>, Rennes, Les Perséides, 2005, p. 91-108.</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color w:val="000000"/>
          <w:sz w:val="22"/>
        </w:rPr>
        <w:t xml:space="preserve">"De l’ordre d’Ancien Régime à l’ordre international : approches de l’histoire des relations internationales" dans </w:t>
      </w:r>
      <w:r w:rsidRPr="00780B38">
        <w:rPr>
          <w:rFonts w:ascii="Times New Roman" w:hAnsi="Times New Roman"/>
          <w:i/>
          <w:color w:val="000000"/>
          <w:sz w:val="22"/>
        </w:rPr>
        <w:t>La Révolution à l’œuvre</w:t>
      </w:r>
      <w:r w:rsidRPr="00780B38">
        <w:rPr>
          <w:rFonts w:ascii="Times New Roman" w:hAnsi="Times New Roman"/>
          <w:color w:val="000000"/>
          <w:sz w:val="22"/>
        </w:rPr>
        <w:t>, Jean-Clément Martin (dir.), Presses Universitaires de Rennes, 2005, p. 217-228.</w:t>
      </w:r>
    </w:p>
    <w:p w:rsidR="008C5666" w:rsidRPr="00780B38" w:rsidRDefault="008C5666" w:rsidP="008C5666">
      <w:pPr>
        <w:spacing w:before="60" w:after="60"/>
        <w:ind w:right="-22"/>
        <w:jc w:val="both"/>
        <w:rPr>
          <w:rFonts w:ascii="Times New Roman" w:hAnsi="Times New Roman"/>
          <w:sz w:val="22"/>
        </w:rPr>
      </w:pPr>
      <w:r w:rsidRPr="00780B38">
        <w:rPr>
          <w:rFonts w:ascii="Times New Roman" w:hAnsi="Times New Roman"/>
          <w:sz w:val="22"/>
        </w:rPr>
        <w:t xml:space="preserve">"Le Marquis d’Argenson", </w:t>
      </w:r>
      <w:r w:rsidRPr="00780B38">
        <w:rPr>
          <w:rFonts w:ascii="Times New Roman" w:hAnsi="Times New Roman"/>
          <w:i/>
          <w:sz w:val="22"/>
        </w:rPr>
        <w:t>Dictionnaire des Ministres des Affaires étrangères</w:t>
      </w:r>
      <w:r w:rsidRPr="00780B38">
        <w:rPr>
          <w:rFonts w:ascii="Times New Roman" w:hAnsi="Times New Roman"/>
          <w:sz w:val="22"/>
        </w:rPr>
        <w:t>, Paris, Fayard, 2005.</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color w:val="000000"/>
          <w:sz w:val="22"/>
        </w:rPr>
        <w:t xml:space="preserve">"Le soldat-philosophe : l’art militaire dans l’Encyclopédie Méthodique" dans Claude Blanckaert, Michel Porret (ed.), </w:t>
      </w:r>
      <w:r w:rsidRPr="00780B38">
        <w:rPr>
          <w:rFonts w:ascii="Times New Roman" w:hAnsi="Times New Roman"/>
          <w:i/>
          <w:color w:val="000000"/>
          <w:sz w:val="22"/>
        </w:rPr>
        <w:t>L’Encyclopédie Méthodique : des Lumières au positivisme (1782-1832)</w:t>
      </w:r>
      <w:r w:rsidRPr="00780B38">
        <w:rPr>
          <w:rFonts w:ascii="Times New Roman" w:hAnsi="Times New Roman"/>
          <w:color w:val="000000"/>
          <w:sz w:val="22"/>
        </w:rPr>
        <w:t> : Actes du colloque international de Genève, Genève, Droz, coll. La Bibliothèque des Lumières, 2006, p. 361-380.</w:t>
      </w:r>
    </w:p>
    <w:p w:rsidR="008C5666" w:rsidRPr="00780B38" w:rsidRDefault="008C5666" w:rsidP="008C5666">
      <w:pPr>
        <w:spacing w:before="60" w:after="60"/>
        <w:ind w:right="-22"/>
        <w:jc w:val="both"/>
        <w:rPr>
          <w:rFonts w:ascii="Times New Roman" w:hAnsi="Times New Roman"/>
          <w:color w:val="000000"/>
          <w:sz w:val="22"/>
        </w:rPr>
      </w:pPr>
      <w:r w:rsidRPr="00780B38">
        <w:rPr>
          <w:rFonts w:ascii="Times New Roman" w:hAnsi="Times New Roman"/>
          <w:color w:val="000000"/>
          <w:sz w:val="22"/>
        </w:rPr>
        <w:t xml:space="preserve">"Les consuls français aux États-Unis et les premiers temps des relations franco-américaines (1778-1792)" dans </w:t>
      </w:r>
      <w:r w:rsidRPr="00780B38">
        <w:rPr>
          <w:rFonts w:ascii="Times New Roman" w:hAnsi="Times New Roman"/>
          <w:i/>
          <w:color w:val="000000"/>
          <w:sz w:val="22"/>
        </w:rPr>
        <w:t>La Fonction consulaire à l’époque moderne</w:t>
      </w:r>
      <w:r w:rsidRPr="00780B38">
        <w:rPr>
          <w:rFonts w:ascii="Times New Roman" w:hAnsi="Times New Roman"/>
          <w:color w:val="000000"/>
          <w:sz w:val="22"/>
        </w:rPr>
        <w:t>, Jörg Ulbert (éd.), Rennes, PUR, 2006, p. 147-160.</w:t>
      </w:r>
    </w:p>
    <w:p w:rsidR="008C5666" w:rsidRPr="00780B38" w:rsidRDefault="008C5666" w:rsidP="008C5666">
      <w:pPr>
        <w:pStyle w:val="Corpsdetexte"/>
        <w:tabs>
          <w:tab w:val="left" w:pos="4962"/>
        </w:tabs>
        <w:rPr>
          <w:rFonts w:ascii="Times New Roman" w:hAnsi="Times New Roman"/>
          <w:sz w:val="22"/>
        </w:rPr>
      </w:pPr>
      <w:r w:rsidRPr="00780B38">
        <w:rPr>
          <w:rFonts w:ascii="Times New Roman" w:hAnsi="Times New Roman"/>
          <w:sz w:val="22"/>
        </w:rPr>
        <w:t xml:space="preserve">"Souveraineté nationale, État-Nation et droit des gens pendant la Révolution française" dans Randall Lesaffer and Georges Macours (eds.), </w:t>
      </w:r>
      <w:r w:rsidRPr="00780B38">
        <w:rPr>
          <w:rFonts w:ascii="Times New Roman" w:hAnsi="Times New Roman"/>
          <w:i/>
          <w:sz w:val="22"/>
        </w:rPr>
        <w:t>Sovereignty and the Law of Nations (16th-18th centuries), Iuris Scripta Historiae,</w:t>
      </w:r>
      <w:r w:rsidRPr="00780B38">
        <w:rPr>
          <w:rFonts w:ascii="Times New Roman" w:hAnsi="Times New Roman"/>
          <w:sz w:val="22"/>
        </w:rPr>
        <w:t xml:space="preserve"> XX, Brussels, 2006, p. 61-68.</w:t>
      </w:r>
    </w:p>
    <w:p w:rsidR="008C5666" w:rsidRPr="00780B38" w:rsidRDefault="008C5666" w:rsidP="008C5666">
      <w:pPr>
        <w:pStyle w:val="Corpsdetexte"/>
        <w:rPr>
          <w:rFonts w:ascii="Times New Roman" w:hAnsi="Times New Roman"/>
          <w:color w:val="000000"/>
          <w:sz w:val="22"/>
        </w:rPr>
      </w:pPr>
      <w:r w:rsidRPr="00780B38">
        <w:rPr>
          <w:rFonts w:ascii="Times New Roman" w:hAnsi="Times New Roman"/>
          <w:color w:val="000000"/>
          <w:sz w:val="22"/>
        </w:rPr>
        <w:t xml:space="preserve">"L’ordre européen et le </w:t>
      </w:r>
      <w:r w:rsidRPr="00780B38">
        <w:rPr>
          <w:rFonts w:ascii="Times New Roman" w:hAnsi="Times New Roman"/>
          <w:i/>
          <w:color w:val="000000"/>
          <w:sz w:val="22"/>
        </w:rPr>
        <w:t>système politique</w:t>
      </w:r>
      <w:r w:rsidRPr="00780B38">
        <w:rPr>
          <w:rFonts w:ascii="Times New Roman" w:hAnsi="Times New Roman"/>
          <w:color w:val="000000"/>
          <w:sz w:val="22"/>
        </w:rPr>
        <w:t xml:space="preserve"> méditerranéen dans le débat politique en l’an VII" dans </w:t>
      </w:r>
      <w:r w:rsidRPr="00780B38">
        <w:rPr>
          <w:rFonts w:ascii="Times New Roman" w:hAnsi="Times New Roman"/>
          <w:i/>
          <w:color w:val="000000"/>
          <w:sz w:val="22"/>
        </w:rPr>
        <w:t>Droit des gens et relations entre les peuples dans l’espace méditerranéen autour de la Révolution française</w:t>
      </w:r>
      <w:r w:rsidRPr="00780B38">
        <w:rPr>
          <w:rFonts w:ascii="Times New Roman" w:hAnsi="Times New Roman"/>
          <w:color w:val="000000"/>
          <w:sz w:val="22"/>
        </w:rPr>
        <w:t>, Collection "Études révolutionnaires", Société des Études robespierristes, Paris, 2006, p. 107-114.</w:t>
      </w:r>
    </w:p>
    <w:p w:rsidR="008C5666" w:rsidRPr="00780B38" w:rsidRDefault="008C5666" w:rsidP="008C5666">
      <w:pPr>
        <w:pStyle w:val="Corpsdetexte3"/>
        <w:rPr>
          <w:color w:val="000000"/>
          <w:sz w:val="22"/>
        </w:rPr>
      </w:pPr>
      <w:r w:rsidRPr="00780B38">
        <w:rPr>
          <w:color w:val="000000"/>
          <w:sz w:val="22"/>
        </w:rPr>
        <w:t xml:space="preserve">"La question des frontières naturelles pendant la Révolution et l’Empire" dans </w:t>
      </w:r>
      <w:r w:rsidRPr="00780B38">
        <w:rPr>
          <w:i/>
          <w:color w:val="000000"/>
          <w:sz w:val="22"/>
        </w:rPr>
        <w:t>Frontières et espaces frontaliers 1789-1814</w:t>
      </w:r>
      <w:r w:rsidRPr="00780B38">
        <w:rPr>
          <w:color w:val="000000"/>
          <w:sz w:val="22"/>
        </w:rPr>
        <w:t>, dir. par Claude Mazauric et Jean-Paul Rothiot, Presses Universitaires de Nancy, 2007, p. 117-128.</w:t>
      </w:r>
    </w:p>
    <w:p w:rsidR="008C5666" w:rsidRPr="00780B38" w:rsidRDefault="008C5666" w:rsidP="008C5666">
      <w:pPr>
        <w:pStyle w:val="Corpsdetexte3"/>
        <w:ind w:right="-23"/>
        <w:rPr>
          <w:sz w:val="22"/>
        </w:rPr>
      </w:pPr>
      <w:r w:rsidRPr="00780B38">
        <w:rPr>
          <w:sz w:val="22"/>
        </w:rPr>
        <w:t xml:space="preserve">"La paix impossible ? Le débat sur les négociations franco-anglaises sous le Directoire et le Consulat", dans </w:t>
      </w:r>
      <w:bookmarkStart w:id="1" w:name="OLE_LINK2"/>
      <w:r w:rsidRPr="00780B38">
        <w:rPr>
          <w:i/>
          <w:sz w:val="22"/>
        </w:rPr>
        <w:t>Le négoce de la paix</w:t>
      </w:r>
      <w:r w:rsidRPr="00780B38">
        <w:rPr>
          <w:sz w:val="22"/>
        </w:rPr>
        <w:t xml:space="preserve">, </w:t>
      </w:r>
      <w:r w:rsidRPr="00780B38">
        <w:rPr>
          <w:i/>
          <w:sz w:val="22"/>
        </w:rPr>
        <w:t>Les nations et les traités franco-britanniques,</w:t>
      </w:r>
      <w:r w:rsidRPr="00780B38">
        <w:rPr>
          <w:sz w:val="22"/>
        </w:rPr>
        <w:t xml:space="preserve"> Pascal Dupuy, Renaud Morieux, Jean-Pierre Jessenne (dir.), </w:t>
      </w:r>
      <w:r w:rsidRPr="00780B38">
        <w:rPr>
          <w:color w:val="000000"/>
          <w:sz w:val="22"/>
        </w:rPr>
        <w:t>Collection "Études révolutionnaires", Société des Études robespierristes, Paris,</w:t>
      </w:r>
      <w:r w:rsidRPr="00780B38">
        <w:rPr>
          <w:sz w:val="22"/>
        </w:rPr>
        <w:t xml:space="preserve"> 2008</w:t>
      </w:r>
      <w:bookmarkEnd w:id="1"/>
      <w:r w:rsidRPr="00780B38">
        <w:rPr>
          <w:sz w:val="22"/>
        </w:rPr>
        <w:t>, p. 95-110.</w:t>
      </w:r>
    </w:p>
    <w:p w:rsidR="008C5666" w:rsidRPr="00780B38" w:rsidRDefault="008C5666" w:rsidP="008C5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Times New Roman" w:hAnsi="Times New Roman"/>
          <w:sz w:val="22"/>
        </w:rPr>
      </w:pPr>
      <w:r w:rsidRPr="00780B38">
        <w:rPr>
          <w:rFonts w:ascii="Times New Roman" w:hAnsi="Times New Roman"/>
          <w:sz w:val="22"/>
        </w:rPr>
        <w:t xml:space="preserve">"Une utopie fédéraliste au siècle des Lumières" dans </w:t>
      </w:r>
      <w:r w:rsidRPr="00780B38">
        <w:rPr>
          <w:rFonts w:ascii="Times New Roman" w:hAnsi="Times New Roman"/>
          <w:i/>
          <w:sz w:val="22"/>
        </w:rPr>
        <w:t>Fédéralisme et fédérations dans les Amériques : utopies, pratiques, limites</w:t>
      </w:r>
      <w:r w:rsidRPr="00780B38">
        <w:rPr>
          <w:rFonts w:ascii="Times New Roman" w:hAnsi="Times New Roman"/>
          <w:sz w:val="22"/>
        </w:rPr>
        <w:t xml:space="preserve"> sous la direction d’Elise Marienstras, Marie-Claude Strigler et Samia Nacouzi, Paris, Institut Charles V, </w:t>
      </w:r>
      <w:r w:rsidRPr="00780B38">
        <w:rPr>
          <w:rFonts w:ascii="Times New Roman" w:hAnsi="Times New Roman"/>
          <w:i/>
          <w:color w:val="000000"/>
          <w:sz w:val="22"/>
        </w:rPr>
        <w:t>Nuevo Mundo/Nouveau Monde</w:t>
      </w:r>
      <w:r w:rsidRPr="00780B38">
        <w:rPr>
          <w:rFonts w:ascii="Times New Roman" w:hAnsi="Times New Roman"/>
          <w:color w:val="000000"/>
          <w:sz w:val="22"/>
        </w:rPr>
        <w:t>, revue en ligne, j</w:t>
      </w:r>
      <w:r w:rsidRPr="00780B38">
        <w:rPr>
          <w:rFonts w:ascii="Times New Roman" w:hAnsi="Times New Roman"/>
          <w:sz w:val="22"/>
        </w:rPr>
        <w:t xml:space="preserve">uin 2008. </w:t>
      </w:r>
      <w:hyperlink r:id="rId5" w:history="1">
        <w:r w:rsidRPr="00780B38">
          <w:rPr>
            <w:rStyle w:val="Lienhypertexte"/>
            <w:rFonts w:ascii="Times New Roman" w:hAnsi="Times New Roman"/>
            <w:sz w:val="22"/>
          </w:rPr>
          <w:t>http://nuevomundo.revues.org//index35192.html</w:t>
        </w:r>
      </w:hyperlink>
      <w:r w:rsidRPr="00780B38">
        <w:rPr>
          <w:rFonts w:ascii="Times New Roman" w:hAnsi="Times New Roman"/>
          <w:sz w:val="22"/>
        </w:rPr>
        <w:t>.</w:t>
      </w:r>
    </w:p>
    <w:p w:rsidR="008C5666" w:rsidRPr="00780B38" w:rsidRDefault="008C5666" w:rsidP="008C5666">
      <w:pPr>
        <w:widowControl w:val="0"/>
        <w:autoSpaceDE w:val="0"/>
        <w:autoSpaceDN w:val="0"/>
        <w:adjustRightInd w:val="0"/>
        <w:spacing w:before="60" w:after="60"/>
        <w:jc w:val="both"/>
        <w:rPr>
          <w:rFonts w:ascii="Times New Roman" w:hAnsi="Times New Roman"/>
          <w:sz w:val="22"/>
        </w:rPr>
      </w:pPr>
      <w:r w:rsidRPr="00780B38">
        <w:rPr>
          <w:rFonts w:ascii="Times New Roman" w:hAnsi="Times New Roman"/>
          <w:sz w:val="22"/>
        </w:rPr>
        <w:t xml:space="preserve">"Le rôle des consuls français aux États-Unis dans la transmission de l’information économique (1776-1815)" dans Dominique Margairaz, Philippe Minard (dir.), </w:t>
      </w:r>
      <w:r w:rsidRPr="00780B38">
        <w:rPr>
          <w:rFonts w:ascii="Times New Roman" w:hAnsi="Times New Roman"/>
          <w:i/>
          <w:sz w:val="22"/>
        </w:rPr>
        <w:t>L’Information économique XVIe – XIXe siècle</w:t>
      </w:r>
      <w:r w:rsidRPr="00780B38">
        <w:rPr>
          <w:rFonts w:ascii="Times New Roman" w:hAnsi="Times New Roman"/>
          <w:sz w:val="22"/>
        </w:rPr>
        <w:t>, Paris, Comité pour l’histoire économique et financière de la France, 2008.</w:t>
      </w:r>
    </w:p>
    <w:p w:rsidR="008C5666" w:rsidRPr="00780B38" w:rsidRDefault="008C5666" w:rsidP="008C5666">
      <w:pPr>
        <w:pStyle w:val="Corpsdetexte3"/>
        <w:rPr>
          <w:sz w:val="22"/>
        </w:rPr>
      </w:pPr>
      <w:r w:rsidRPr="00780B38">
        <w:rPr>
          <w:sz w:val="22"/>
        </w:rPr>
        <w:t xml:space="preserve">"Les traités d’alliance et de commerce de 1778 : actes fondateurs des relations franco-américaines" dans </w:t>
      </w:r>
      <w:r w:rsidRPr="00780B38">
        <w:rPr>
          <w:i/>
          <w:sz w:val="22"/>
        </w:rPr>
        <w:t>Naissance de l’Amérique du Nord : Actes fondateurs</w:t>
      </w:r>
      <w:r w:rsidRPr="00780B38">
        <w:rPr>
          <w:sz w:val="22"/>
        </w:rPr>
        <w:t>,</w:t>
      </w:r>
      <w:r w:rsidRPr="00780B38">
        <w:rPr>
          <w:i/>
          <w:sz w:val="22"/>
        </w:rPr>
        <w:t xml:space="preserve"> </w:t>
      </w:r>
      <w:r w:rsidRPr="00780B38">
        <w:rPr>
          <w:sz w:val="22"/>
        </w:rPr>
        <w:t>Bernard Cottret, Bertrand Van Ruymbeke, (dir.), Paris, Les Indes savantes, 2008, p. 157-169.</w:t>
      </w:r>
    </w:p>
    <w:p w:rsidR="008C5666" w:rsidRPr="00780B38" w:rsidRDefault="008C5666" w:rsidP="008C5666">
      <w:pPr>
        <w:pStyle w:val="Corpsdetexte3"/>
        <w:rPr>
          <w:sz w:val="22"/>
        </w:rPr>
      </w:pPr>
      <w:r w:rsidRPr="00780B38">
        <w:rPr>
          <w:sz w:val="22"/>
        </w:rPr>
        <w:t xml:space="preserve">"La Révolution française : guerre de conquête ou "exportation" de la Liberté ? (1789-1795)" dans </w:t>
      </w:r>
      <w:r w:rsidRPr="00780B38">
        <w:rPr>
          <w:i/>
          <w:sz w:val="22"/>
        </w:rPr>
        <w:t>L’exportation des idées et des systèmes</w:t>
      </w:r>
      <w:r w:rsidRPr="00780B38">
        <w:rPr>
          <w:sz w:val="22"/>
        </w:rPr>
        <w:t>, Cahiers du CEHD, Paris, 2008, p. 69-84.</w:t>
      </w:r>
    </w:p>
    <w:p w:rsidR="008C5666" w:rsidRPr="00780B38" w:rsidRDefault="008C5666" w:rsidP="008C5666">
      <w:pPr>
        <w:widowControl w:val="0"/>
        <w:autoSpaceDE w:val="0"/>
        <w:autoSpaceDN w:val="0"/>
        <w:adjustRightInd w:val="0"/>
        <w:jc w:val="both"/>
        <w:rPr>
          <w:rFonts w:ascii="Times New Roman" w:eastAsia="Times" w:hAnsi="Times New Roman" w:cs="Arial"/>
          <w:sz w:val="22"/>
          <w:szCs w:val="26"/>
        </w:rPr>
      </w:pPr>
      <w:r w:rsidRPr="00780B38">
        <w:rPr>
          <w:rFonts w:ascii="Times New Roman" w:eastAsia="Times" w:hAnsi="Times New Roman" w:cs="Arial"/>
          <w:sz w:val="22"/>
          <w:szCs w:val="26"/>
        </w:rPr>
        <w:t xml:space="preserve">"Hégémonie ou Républicanisme cosmopolitique ? Le nouvel ordre européen sous le Directoire et le Consulat" dans </w:t>
      </w:r>
      <w:r w:rsidRPr="00780B38">
        <w:rPr>
          <w:rFonts w:ascii="Times New Roman" w:eastAsia="Times" w:hAnsi="Times New Roman" w:cs="Arial"/>
          <w:i/>
          <w:sz w:val="22"/>
          <w:szCs w:val="26"/>
        </w:rPr>
        <w:t>In the Embrace of France. The Law of Nations and Constitutional Law in the</w:t>
      </w:r>
      <w:r w:rsidRPr="00780B38">
        <w:rPr>
          <w:rFonts w:ascii="Times New Roman" w:eastAsia="Times" w:hAnsi="Times New Roman" w:cs="Helvetica"/>
          <w:i/>
          <w:sz w:val="22"/>
          <w:szCs w:val="24"/>
        </w:rPr>
        <w:t xml:space="preserve"> </w:t>
      </w:r>
      <w:r w:rsidRPr="00780B38">
        <w:rPr>
          <w:rFonts w:ascii="Times New Roman" w:eastAsia="Times" w:hAnsi="Times New Roman" w:cs="Arial"/>
          <w:i/>
          <w:sz w:val="22"/>
          <w:szCs w:val="26"/>
        </w:rPr>
        <w:t>French Satellite States of the Revolutionary and Napoleonic Age (1789-1815)</w:t>
      </w:r>
      <w:r w:rsidRPr="00780B38">
        <w:rPr>
          <w:rFonts w:ascii="Times New Roman" w:eastAsia="Times" w:hAnsi="Times New Roman" w:cs="Arial"/>
          <w:sz w:val="22"/>
          <w:szCs w:val="26"/>
        </w:rPr>
        <w:t>,</w:t>
      </w:r>
      <w:r w:rsidRPr="00780B38">
        <w:rPr>
          <w:rFonts w:ascii="Times New Roman" w:eastAsia="Times" w:hAnsi="Times New Roman" w:cs="Helvetica"/>
          <w:sz w:val="22"/>
          <w:szCs w:val="24"/>
        </w:rPr>
        <w:t xml:space="preserve"> </w:t>
      </w:r>
      <w:r w:rsidRPr="00780B38">
        <w:rPr>
          <w:rFonts w:ascii="Times New Roman" w:eastAsia="Times" w:hAnsi="Times New Roman" w:cs="Arial"/>
          <w:sz w:val="22"/>
          <w:szCs w:val="26"/>
        </w:rPr>
        <w:t>ed. by Beatrix Jacobs, Raymond Kubben and Randall Lesaffer. Acts of the</w:t>
      </w:r>
      <w:r w:rsidRPr="00780B38">
        <w:rPr>
          <w:rFonts w:ascii="Times New Roman" w:eastAsia="Times" w:hAnsi="Times New Roman" w:cs="Helvetica"/>
          <w:sz w:val="22"/>
          <w:szCs w:val="24"/>
        </w:rPr>
        <w:t xml:space="preserve"> </w:t>
      </w:r>
      <w:r w:rsidRPr="00780B38">
        <w:rPr>
          <w:rFonts w:ascii="Times New Roman" w:eastAsia="Times" w:hAnsi="Times New Roman" w:cs="Arial"/>
          <w:sz w:val="22"/>
          <w:szCs w:val="26"/>
        </w:rPr>
        <w:t>International Conference Held at Tilburg University on 27 &amp; 28 April 2006.</w:t>
      </w:r>
      <w:r w:rsidRPr="00780B38">
        <w:rPr>
          <w:rFonts w:ascii="Times New Roman" w:eastAsia="Times" w:hAnsi="Times New Roman" w:cs="Helvetica"/>
          <w:sz w:val="22"/>
          <w:szCs w:val="24"/>
        </w:rPr>
        <w:t xml:space="preserve"> </w:t>
      </w:r>
      <w:r w:rsidRPr="00780B38">
        <w:rPr>
          <w:rFonts w:ascii="Times New Roman" w:eastAsia="Times" w:hAnsi="Times New Roman" w:cs="Arial"/>
          <w:sz w:val="22"/>
          <w:szCs w:val="26"/>
        </w:rPr>
        <w:t>(Studien zur Geschichte des Völkerrechts 18). Baden-Baden : Nomos 2008. V, 175 S, p. 117-126.</w:t>
      </w:r>
    </w:p>
    <w:p w:rsidR="008C5666" w:rsidRPr="00780B38" w:rsidRDefault="008C5666" w:rsidP="008C5666">
      <w:pPr>
        <w:pStyle w:val="Corpsdetexte3"/>
        <w:rPr>
          <w:sz w:val="22"/>
        </w:rPr>
      </w:pPr>
      <w:r w:rsidRPr="00780B38">
        <w:rPr>
          <w:rFonts w:eastAsia="Times" w:cs="Arial"/>
          <w:i/>
          <w:iCs/>
          <w:sz w:val="22"/>
          <w:szCs w:val="26"/>
        </w:rPr>
        <w:t>Principes des négociations ou art de négocier ?</w:t>
      </w:r>
      <w:r w:rsidRPr="00780B38">
        <w:rPr>
          <w:rFonts w:eastAsia="Times" w:cs="Arial"/>
          <w:sz w:val="22"/>
          <w:szCs w:val="26"/>
        </w:rPr>
        <w:t>, dans Publikationsportal Friedensverträge, (Veröffentlichung des Instituts für Europäische Geschichte, Mainz, Veröffentlichung der Projektgruppe Europäische Friedensverträge der Vormoderne), Mainz 2008-11-18, Abschnitt 1 – 16.   http://www.ieg-mainz.de/publikationsportal/index.html.</w:t>
      </w:r>
    </w:p>
    <w:p w:rsidR="008C5666" w:rsidRPr="00780B38" w:rsidRDefault="008C5666" w:rsidP="008C5666">
      <w:pPr>
        <w:pStyle w:val="Corpsdetexte3"/>
        <w:rPr>
          <w:sz w:val="22"/>
        </w:rPr>
      </w:pPr>
      <w:r w:rsidRPr="00780B38">
        <w:rPr>
          <w:sz w:val="22"/>
        </w:rPr>
        <w:t xml:space="preserve">"Mably, Rousseau et la République de Pologne" dans </w:t>
      </w:r>
      <w:r w:rsidRPr="00780B38">
        <w:rPr>
          <w:i/>
          <w:sz w:val="22"/>
        </w:rPr>
        <w:t>Républicanismes et droit naturel des humanistes aux révolutions de droits de l’homme</w:t>
      </w:r>
      <w:r w:rsidRPr="00780B38">
        <w:rPr>
          <w:sz w:val="22"/>
        </w:rPr>
        <w:t>, Paris, Kimé, 2009, p. 53-70.</w:t>
      </w:r>
    </w:p>
    <w:p w:rsidR="008C5666" w:rsidRPr="00780B38" w:rsidRDefault="008C5666" w:rsidP="008C5666">
      <w:pPr>
        <w:pStyle w:val="Corpsdetexte3"/>
        <w:rPr>
          <w:sz w:val="22"/>
        </w:rPr>
      </w:pPr>
      <w:r w:rsidRPr="00780B38">
        <w:rPr>
          <w:sz w:val="22"/>
        </w:rPr>
        <w:t xml:space="preserve">"La République américaine vue par les républicains français sous le Directoire" dans </w:t>
      </w:r>
      <w:r w:rsidRPr="00780B38">
        <w:rPr>
          <w:i/>
          <w:sz w:val="22"/>
        </w:rPr>
        <w:t>République sœurs. Le Directoire et la Révolution atlantique</w:t>
      </w:r>
      <w:r w:rsidRPr="00780B38">
        <w:rPr>
          <w:sz w:val="22"/>
        </w:rPr>
        <w:t>, Pierre Serna (dir.), actes du colloque de Paris I, PUR, Rennes, 2009, p. 103-122.</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"La faute à Voltaire, la faute à Rousseau ?" dans Michel Biard (dir.) </w:t>
      </w:r>
      <w:r w:rsidRPr="00780B38">
        <w:rPr>
          <w:rFonts w:ascii="Times New Roman" w:hAnsi="Times New Roman"/>
          <w:i/>
          <w:sz w:val="22"/>
        </w:rPr>
        <w:t>Pour la Révolution française</w:t>
      </w:r>
      <w:r w:rsidRPr="00780B38">
        <w:rPr>
          <w:rFonts w:ascii="Times New Roman" w:hAnsi="Times New Roman"/>
          <w:sz w:val="22"/>
        </w:rPr>
        <w:t>, Paris, Tallandier, 2010, p. 27-38.</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"Diplomatie der Könige, Diplomatie der Völker, 1770-1800" dans Herbert von Thiessen, Christian Windler, </w:t>
      </w:r>
      <w:r w:rsidRPr="00780B38">
        <w:rPr>
          <w:rFonts w:ascii="Times New Roman" w:hAnsi="Times New Roman"/>
          <w:i/>
          <w:sz w:val="22"/>
        </w:rPr>
        <w:t>Akteure der Außenbeziehungen. Netzwerke und Inter Kulturalität im historischen Wandel</w:t>
      </w:r>
      <w:r w:rsidRPr="00780B38">
        <w:rPr>
          <w:rFonts w:ascii="Times New Roman" w:hAnsi="Times New Roman"/>
          <w:sz w:val="22"/>
        </w:rPr>
        <w:t>, Böhlau Verlag, Köln, 2010, p. 403-426.</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"Le peuple-tyran : le débat sur les crimes des Anglais en l’an II" (avec Sophie Wahnich), dans Monique Cottret, Caroline Galland (dir.), </w:t>
      </w:r>
      <w:r w:rsidRPr="00780B38">
        <w:rPr>
          <w:rFonts w:ascii="Times New Roman" w:hAnsi="Times New Roman"/>
          <w:i/>
          <w:sz w:val="22"/>
        </w:rPr>
        <w:t>Les damnés du ciel et de la terre</w:t>
      </w:r>
      <w:r w:rsidRPr="00780B38">
        <w:rPr>
          <w:rFonts w:ascii="Times New Roman" w:hAnsi="Times New Roman"/>
          <w:sz w:val="22"/>
        </w:rPr>
        <w:t>, Presses Universitaires de Limoges, 2010, p. 229-240.</w:t>
      </w:r>
    </w:p>
    <w:p w:rsidR="008C5666" w:rsidRPr="00780B38" w:rsidRDefault="008C5666" w:rsidP="008C5666">
      <w:pPr>
        <w:pStyle w:val="style4"/>
        <w:spacing w:beforeLines="0" w:afterLines="0"/>
        <w:jc w:val="both"/>
        <w:rPr>
          <w:rStyle w:val="style10"/>
          <w:sz w:val="22"/>
        </w:rPr>
      </w:pPr>
      <w:r w:rsidRPr="00780B38">
        <w:rPr>
          <w:rFonts w:ascii="Times New Roman" w:hAnsi="Times New Roman"/>
          <w:sz w:val="22"/>
        </w:rPr>
        <w:t xml:space="preserve">"L’attentat de Rastatt (28 avril 1799)" dans </w:t>
      </w:r>
      <w:r w:rsidRPr="00780B38">
        <w:rPr>
          <w:rStyle w:val="style10"/>
          <w:sz w:val="22"/>
        </w:rPr>
        <w:t xml:space="preserve">Lucien Bély et Géraud Poumarède (dir.), </w:t>
      </w:r>
      <w:r w:rsidRPr="00780B38">
        <w:rPr>
          <w:rStyle w:val="lev"/>
          <w:rFonts w:ascii="Times New Roman" w:hAnsi="Times New Roman"/>
          <w:b w:val="0"/>
          <w:i/>
          <w:sz w:val="22"/>
        </w:rPr>
        <w:t>L’Incident diplomatique</w:t>
      </w:r>
      <w:r w:rsidRPr="00780B38">
        <w:rPr>
          <w:rFonts w:ascii="Times New Roman" w:hAnsi="Times New Roman"/>
          <w:b/>
          <w:i/>
          <w:sz w:val="22"/>
        </w:rPr>
        <w:t xml:space="preserve"> </w:t>
      </w:r>
      <w:r w:rsidRPr="00780B38">
        <w:rPr>
          <w:rStyle w:val="lev"/>
          <w:rFonts w:ascii="Times New Roman" w:hAnsi="Times New Roman"/>
          <w:b w:val="0"/>
          <w:i/>
          <w:sz w:val="22"/>
        </w:rPr>
        <w:t>(XVIe-XVIIIe siècle)</w:t>
      </w:r>
      <w:r w:rsidRPr="00780B38">
        <w:rPr>
          <w:rFonts w:ascii="Times New Roman" w:hAnsi="Times New Roman"/>
          <w:b/>
          <w:sz w:val="22"/>
        </w:rPr>
        <w:t>,</w:t>
      </w:r>
      <w:r w:rsidRPr="00780B38">
        <w:rPr>
          <w:rStyle w:val="style10"/>
          <w:sz w:val="22"/>
        </w:rPr>
        <w:t xml:space="preserve"> Paris, Éditions Pedone, 2010, p. 435-450.</w:t>
      </w:r>
    </w:p>
    <w:p w:rsidR="008C5666" w:rsidRPr="00780B38" w:rsidRDefault="008C5666" w:rsidP="008C5666">
      <w:pPr>
        <w:pStyle w:val="style4"/>
        <w:spacing w:beforeLines="0" w:afterLines="0"/>
        <w:jc w:val="both"/>
        <w:rPr>
          <w:rFonts w:ascii="Times New Roman" w:hAnsi="Times New Roman"/>
          <w:sz w:val="22"/>
        </w:rPr>
      </w:pPr>
      <w:r w:rsidRPr="00780B38">
        <w:rPr>
          <w:rFonts w:ascii="Times New Roman" w:hAnsi="Times New Roman"/>
          <w:sz w:val="22"/>
        </w:rPr>
        <w:t xml:space="preserve">"La guerre de course : une guerre privée et immorale ? (1763-1795)" dans Jean-Christophe Romer et Laurent Henninger (dir.), </w:t>
      </w:r>
      <w:r w:rsidRPr="00780B38">
        <w:rPr>
          <w:rFonts w:ascii="Times New Roman" w:hAnsi="Times New Roman"/>
          <w:i/>
          <w:iCs/>
          <w:sz w:val="22"/>
        </w:rPr>
        <w:t>Armées privées, armées d’État. Mercenaires et auxiliaires d’hier et d’aujourd’hui</w:t>
      </w:r>
      <w:r w:rsidRPr="00780B38">
        <w:rPr>
          <w:rFonts w:ascii="Times New Roman" w:hAnsi="Times New Roman"/>
          <w:sz w:val="22"/>
        </w:rPr>
        <w:t>, Paris, IRSEM, 2010, p. 149-160.</w:t>
      </w:r>
    </w:p>
    <w:p w:rsidR="008C5666" w:rsidRPr="00780B38" w:rsidRDefault="008C5666" w:rsidP="008C5666">
      <w:pPr>
        <w:pStyle w:val="style4"/>
        <w:spacing w:beforeLines="0" w:afterLines="0"/>
        <w:jc w:val="both"/>
        <w:rPr>
          <w:rFonts w:ascii="Times New Roman" w:hAnsi="Times New Roman"/>
          <w:sz w:val="22"/>
        </w:rPr>
      </w:pPr>
      <w:r w:rsidRPr="00780B38">
        <w:rPr>
          <w:rFonts w:ascii="Times New Roman" w:hAnsi="Times New Roman"/>
          <w:sz w:val="22"/>
        </w:rPr>
        <w:t xml:space="preserve">" Les circulations diplomatiques en Europe au XVIIIe siècle : représentation, information, diffusion des modèles culturels" (avec Eric Schnakenbourg) dans </w:t>
      </w:r>
      <w:r w:rsidRPr="00780B38">
        <w:rPr>
          <w:rFonts w:ascii="Times New Roman" w:hAnsi="Times New Roman"/>
          <w:i/>
          <w:sz w:val="22"/>
        </w:rPr>
        <w:t>Les circulations internationales en Europe ; années 1680-années 1780</w:t>
      </w:r>
      <w:r w:rsidRPr="00780B38">
        <w:rPr>
          <w:rFonts w:ascii="Times New Roman" w:hAnsi="Times New Roman"/>
          <w:sz w:val="22"/>
        </w:rPr>
        <w:t>, Rennes, PUR, 2011, p. 279-295.</w:t>
      </w:r>
    </w:p>
    <w:p w:rsidR="008C5666" w:rsidRPr="00780B38" w:rsidRDefault="008C5666" w:rsidP="008C5666">
      <w:pPr>
        <w:spacing w:before="60" w:after="60"/>
        <w:jc w:val="both"/>
        <w:rPr>
          <w:rFonts w:ascii="Times New Roman" w:hAnsi="Times New Roman"/>
          <w:sz w:val="22"/>
        </w:rPr>
      </w:pPr>
      <w:r w:rsidRPr="00780B38">
        <w:rPr>
          <w:rFonts w:ascii="Times New Roman" w:hAnsi="Times New Roman"/>
          <w:sz w:val="22"/>
        </w:rPr>
        <w:t xml:space="preserve">"L’entretien impossible ? Ministres monarchistes et envoyés républicains (1795-1800)" dans </w:t>
      </w:r>
      <w:r w:rsidRPr="00780B38">
        <w:rPr>
          <w:rFonts w:ascii="Times New Roman" w:hAnsi="Times New Roman"/>
          <w:i/>
          <w:sz w:val="22"/>
        </w:rPr>
        <w:t>Paroles de Négociateurs : l’entretien dans la pratique diplomatique de la fin de Moyen Age à la fin du XIXe siècle</w:t>
      </w:r>
      <w:r w:rsidRPr="00780B38">
        <w:rPr>
          <w:rFonts w:ascii="Times New Roman" w:hAnsi="Times New Roman"/>
          <w:sz w:val="22"/>
        </w:rPr>
        <w:t>, textes réunis par Silvio Andretta, Stéphane Pecquignot, Marie-Karine Schaub, Jean-Claude Waquet, Christian Windler, Rome, collection de l’École française de Rome, 433, 2011, p. 333-354.</w:t>
      </w:r>
    </w:p>
    <w:p w:rsidR="008C5666" w:rsidRPr="00780B38" w:rsidRDefault="008C5666" w:rsidP="008C5666">
      <w:pPr>
        <w:spacing w:before="60" w:after="60"/>
        <w:jc w:val="both"/>
        <w:rPr>
          <w:rFonts w:ascii="Times New Roman" w:hAnsi="Times New Roman"/>
          <w:sz w:val="22"/>
        </w:rPr>
      </w:pPr>
      <w:r w:rsidRPr="00780B38">
        <w:rPr>
          <w:rFonts w:ascii="Times New Roman" w:hAnsi="Times New Roman"/>
          <w:sz w:val="22"/>
        </w:rPr>
        <w:t xml:space="preserve">"L'Honneur est à Coblence ! La critique de l’honneur dans les débats sur la guerre (1789-1792)" dans </w:t>
      </w:r>
      <w:r w:rsidRPr="00780B38">
        <w:rPr>
          <w:rFonts w:ascii="Times New Roman" w:hAnsi="Times New Roman"/>
          <w:i/>
          <w:sz w:val="22"/>
        </w:rPr>
        <w:t>Penser et vivre l’honneur à l’époque moderne</w:t>
      </w:r>
      <w:r w:rsidRPr="00780B38">
        <w:rPr>
          <w:rFonts w:ascii="Times New Roman" w:hAnsi="Times New Roman"/>
          <w:sz w:val="22"/>
        </w:rPr>
        <w:t>, Hervé Drévillon et Diego Venturino (dir.), Rennes, PUR, 2011, p. 151-161.</w:t>
      </w:r>
    </w:p>
    <w:p w:rsidR="008C5666" w:rsidRPr="00780B38" w:rsidRDefault="008C5666" w:rsidP="008C5666">
      <w:pPr>
        <w:spacing w:before="60" w:after="60"/>
        <w:jc w:val="both"/>
        <w:rPr>
          <w:rStyle w:val="ktoolbox"/>
          <w:rFonts w:ascii="Times New Roman" w:hAnsi="Times New Roman"/>
          <w:sz w:val="22"/>
        </w:rPr>
      </w:pPr>
      <w:r w:rsidRPr="00780B38">
        <w:rPr>
          <w:rStyle w:val="ktoolbox"/>
          <w:rFonts w:ascii="Times New Roman" w:hAnsi="Times New Roman"/>
          <w:sz w:val="22"/>
        </w:rPr>
        <w:t xml:space="preserve">"Les conditions de la réconciliation entre les puissances au XVIIIe siècle : traités, bonne foi et civilité européenne dans la pensée des Lumières" dans </w:t>
      </w:r>
      <w:r w:rsidRPr="00780B38">
        <w:rPr>
          <w:rStyle w:val="ktoolbox"/>
          <w:rFonts w:ascii="Times New Roman" w:hAnsi="Times New Roman"/>
          <w:i/>
          <w:sz w:val="22"/>
        </w:rPr>
        <w:t>Conciliation, Réconciliation</w:t>
      </w:r>
      <w:r w:rsidRPr="00780B38">
        <w:rPr>
          <w:rStyle w:val="ktoolbox"/>
          <w:rFonts w:ascii="Times New Roman" w:hAnsi="Times New Roman"/>
          <w:sz w:val="22"/>
        </w:rPr>
        <w:t>, Franck Collard, Monique Cottret (dir.), Presses Universitaires Paris Ouest, 2012, p. 187-196.</w:t>
      </w:r>
    </w:p>
    <w:p w:rsidR="008C5666" w:rsidRPr="00780B38" w:rsidRDefault="008C5666" w:rsidP="008C5666">
      <w:pPr>
        <w:spacing w:before="60" w:after="60"/>
        <w:jc w:val="both"/>
        <w:rPr>
          <w:rFonts w:ascii="Times New Roman" w:hAnsi="Times New Roman"/>
          <w:sz w:val="22"/>
        </w:rPr>
      </w:pPr>
      <w:r w:rsidRPr="00780B38">
        <w:rPr>
          <w:rFonts w:ascii="Times New Roman" w:hAnsi="Times New Roman"/>
          <w:sz w:val="22"/>
        </w:rPr>
        <w:t xml:space="preserve">"La Pologne comme objet du débat politique dans la France des Lumières", colloque ICOPE, </w:t>
      </w:r>
      <w:r w:rsidRPr="00780B38">
        <w:rPr>
          <w:rFonts w:ascii="Times New Roman" w:hAnsi="Times New Roman"/>
          <w:i/>
          <w:sz w:val="22"/>
        </w:rPr>
        <w:t>Construction d’un imaginaire collectif du Moyen-Âge aux débuts des Lumières,</w:t>
      </w:r>
      <w:r w:rsidRPr="00780B38">
        <w:rPr>
          <w:rFonts w:ascii="Times New Roman" w:hAnsi="Times New Roman"/>
          <w:sz w:val="22"/>
        </w:rPr>
        <w:t xml:space="preserve"> </w:t>
      </w:r>
      <w:r w:rsidRPr="00780B38">
        <w:rPr>
          <w:rFonts w:ascii="Times New Roman" w:hAnsi="Times New Roman"/>
          <w:i/>
          <w:sz w:val="22"/>
        </w:rPr>
        <w:t>Allemagne, France, Pologne : unité et diversité</w:t>
      </w:r>
      <w:r w:rsidRPr="00780B38">
        <w:rPr>
          <w:rFonts w:ascii="Times New Roman" w:hAnsi="Times New Roman"/>
          <w:sz w:val="22"/>
        </w:rPr>
        <w:t>, textes réunis par Leczek Kanczugowski, Paris, Collège des Bernardins, 2012, p. 229-254.</w:t>
      </w:r>
    </w:p>
    <w:p w:rsidR="008C5666" w:rsidRPr="00780B38" w:rsidRDefault="008C5666" w:rsidP="008C5666">
      <w:pPr>
        <w:spacing w:before="60" w:after="60"/>
        <w:jc w:val="both"/>
        <w:rPr>
          <w:rFonts w:ascii="Times New Roman" w:hAnsi="Times New Roman"/>
          <w:sz w:val="22"/>
        </w:rPr>
      </w:pPr>
      <w:r w:rsidRPr="00780B38">
        <w:rPr>
          <w:rFonts w:ascii="Times New Roman" w:hAnsi="Times New Roman"/>
          <w:sz w:val="22"/>
        </w:rPr>
        <w:t>"La Sibérie et les peuples sibériens dans l’</w:t>
      </w:r>
      <w:r w:rsidRPr="00780B38">
        <w:rPr>
          <w:rFonts w:ascii="Times New Roman" w:hAnsi="Times New Roman"/>
          <w:i/>
          <w:sz w:val="22"/>
        </w:rPr>
        <w:t>Encyclopédie</w:t>
      </w:r>
      <w:r w:rsidRPr="00780B38">
        <w:rPr>
          <w:rFonts w:ascii="Times New Roman" w:hAnsi="Times New Roman"/>
          <w:sz w:val="22"/>
        </w:rPr>
        <w:t xml:space="preserve"> de Diderot et d’Alembert", dans</w:t>
      </w:r>
      <w:r w:rsidRPr="00780B38">
        <w:rPr>
          <w:rFonts w:ascii="Times New Roman" w:hAnsi="Times New Roman"/>
          <w:i/>
          <w:sz w:val="22"/>
        </w:rPr>
        <w:t xml:space="preserve"> Figures du Nord. Représentations et perceptions des espaces septentrionaux du Moyen Age au XVIIIe siècle</w:t>
      </w:r>
      <w:r w:rsidRPr="00780B38">
        <w:rPr>
          <w:rFonts w:ascii="Times New Roman" w:hAnsi="Times New Roman"/>
          <w:sz w:val="22"/>
        </w:rPr>
        <w:t>, Eric Schnakenbourg (dir.) PUR, 2012, p. 161-174..</w:t>
      </w:r>
    </w:p>
    <w:p w:rsidR="008C5666" w:rsidRPr="00780B38" w:rsidRDefault="008C5666" w:rsidP="008C5666">
      <w:pPr>
        <w:spacing w:before="60" w:after="60"/>
        <w:jc w:val="both"/>
        <w:rPr>
          <w:rFonts w:ascii="Times New Roman" w:hAnsi="Times New Roman"/>
          <w:sz w:val="22"/>
        </w:rPr>
      </w:pPr>
      <w:r w:rsidRPr="00780B38">
        <w:rPr>
          <w:rFonts w:ascii="Times New Roman" w:hAnsi="Times New Roman"/>
          <w:sz w:val="22"/>
        </w:rPr>
        <w:t xml:space="preserve">"Robespierre et la guerre" dans </w:t>
      </w:r>
      <w:r w:rsidRPr="00780B38">
        <w:rPr>
          <w:rFonts w:ascii="Times New Roman" w:hAnsi="Times New Roman"/>
          <w:i/>
          <w:sz w:val="22"/>
        </w:rPr>
        <w:t>Robespierre. Portraits Croisés</w:t>
      </w:r>
      <w:r w:rsidRPr="00780B38">
        <w:rPr>
          <w:rFonts w:ascii="Times New Roman" w:hAnsi="Times New Roman"/>
          <w:sz w:val="22"/>
        </w:rPr>
        <w:t>, Michel Biard, Philippe Bourdin (dir.), Paris, Armand Colin, 2012, p. 95-108.</w:t>
      </w:r>
    </w:p>
    <w:p w:rsidR="008C5666" w:rsidRPr="00780B38" w:rsidRDefault="008C5666" w:rsidP="008C5666">
      <w:pPr>
        <w:pStyle w:val="Corpsdetexte3"/>
        <w:rPr>
          <w:sz w:val="22"/>
        </w:rPr>
      </w:pPr>
      <w:r w:rsidRPr="00780B38">
        <w:rPr>
          <w:sz w:val="22"/>
        </w:rPr>
        <w:t xml:space="preserve">"Les civils dans le droit des gens et le droit de la guerre de Grotius à Rousseau" dans </w:t>
      </w:r>
      <w:r w:rsidRPr="00780B38">
        <w:rPr>
          <w:i/>
          <w:sz w:val="22"/>
        </w:rPr>
        <w:t>Expériences de la guerre et pratiques de la paix de l’Antiquité au XXe siècle</w:t>
      </w:r>
      <w:r w:rsidRPr="00780B38">
        <w:rPr>
          <w:sz w:val="22"/>
        </w:rPr>
        <w:t>, études réunies en l’honneur du professeur Jean-Pierre Bois, Rennes, PUR, 2013, p. 337-346.</w:t>
      </w:r>
    </w:p>
    <w:p w:rsidR="008C5666" w:rsidRPr="00780B38" w:rsidRDefault="008C5666" w:rsidP="008C5666">
      <w:pPr>
        <w:pStyle w:val="Corpsdetexte3"/>
        <w:rPr>
          <w:rFonts w:eastAsia="Times"/>
          <w:color w:val="000000" w:themeColor="text1"/>
          <w:sz w:val="22"/>
        </w:rPr>
      </w:pPr>
      <w:r w:rsidRPr="00780B38">
        <w:rPr>
          <w:sz w:val="22"/>
        </w:rPr>
        <w:t xml:space="preserve">"Guerre juste et droit de la guerre au prisme de la philosophie des Lumières" dans </w:t>
      </w:r>
      <w:r w:rsidRPr="00780B38">
        <w:rPr>
          <w:rFonts w:eastAsia="Times" w:cs="BookmanOldStyle"/>
          <w:bCs/>
          <w:i/>
          <w:sz w:val="22"/>
          <w:szCs w:val="36"/>
        </w:rPr>
        <w:t xml:space="preserve">Guerre juste, juste guerre. </w:t>
      </w:r>
      <w:r w:rsidRPr="00780B38">
        <w:rPr>
          <w:rFonts w:eastAsia="Times"/>
          <w:i/>
          <w:sz w:val="22"/>
        </w:rPr>
        <w:t>Les justifications religieuses et profanes de la guerre de l’antiquité au XXIe siècle</w:t>
      </w:r>
      <w:r w:rsidRPr="00780B38">
        <w:rPr>
          <w:rFonts w:eastAsia="Times"/>
          <w:sz w:val="22"/>
        </w:rPr>
        <w:t xml:space="preserve">, textes réunis par Françoise Baslez, André Encrevé, Rémi Fabre et Corinne Péneau, Bordeaux, Éditions Bière, 2013, </w:t>
      </w:r>
      <w:r w:rsidRPr="00780B38">
        <w:rPr>
          <w:rFonts w:eastAsia="Times"/>
          <w:color w:val="000000" w:themeColor="text1"/>
          <w:sz w:val="22"/>
        </w:rPr>
        <w:t>p. 225-233.</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"Gabriel Bonnot de Mably et les </w:t>
      </w:r>
      <w:r w:rsidRPr="00780B38">
        <w:rPr>
          <w:rFonts w:ascii="Times New Roman" w:hAnsi="Times New Roman"/>
          <w:i/>
          <w:sz w:val="22"/>
        </w:rPr>
        <w:t>Principes des négociations</w:t>
      </w:r>
      <w:r w:rsidRPr="00780B38">
        <w:rPr>
          <w:rFonts w:ascii="Times New Roman" w:hAnsi="Times New Roman"/>
          <w:sz w:val="22"/>
        </w:rPr>
        <w:t xml:space="preserve">" dans </w:t>
      </w:r>
      <w:r w:rsidRPr="00780B38">
        <w:rPr>
          <w:rFonts w:ascii="Times New Roman" w:hAnsi="Times New Roman"/>
          <w:i/>
          <w:sz w:val="22"/>
        </w:rPr>
        <w:t>Approches de la géopolitique</w:t>
      </w:r>
      <w:r w:rsidRPr="00780B38">
        <w:rPr>
          <w:rFonts w:ascii="Times New Roman" w:hAnsi="Times New Roman"/>
          <w:sz w:val="22"/>
        </w:rPr>
        <w:t>, Hervé Couteau-Bégarie, Martin Motte (dir.), Paris, Economica, 2013, p. 163-178.</w:t>
      </w:r>
    </w:p>
    <w:p w:rsidR="008C5666" w:rsidRPr="00780B38" w:rsidRDefault="008C5666" w:rsidP="008C5666">
      <w:pPr>
        <w:pStyle w:val="Corpsdetexte3"/>
        <w:rPr>
          <w:sz w:val="22"/>
        </w:rPr>
      </w:pPr>
      <w:r w:rsidRPr="00780B38">
        <w:rPr>
          <w:sz w:val="22"/>
        </w:rPr>
        <w:t xml:space="preserve">"Can a Powerful Republic Be Peaceful ? The Debate of Year IV on the Place of France in the European Order" dans </w:t>
      </w:r>
      <w:r w:rsidRPr="00780B38">
        <w:rPr>
          <w:i/>
          <w:sz w:val="22"/>
        </w:rPr>
        <w:t>Republics at War, 1776-1840. Revolutions, conflicts and geopolitics in Europe and the Atlantic World</w:t>
      </w:r>
      <w:r w:rsidRPr="00780B38">
        <w:rPr>
          <w:sz w:val="22"/>
        </w:rPr>
        <w:t>, Pierre Serna, Antonio di Francesco, Judith Miller (ed.), Palgrave, 2013, p. 65-82.</w:t>
      </w:r>
    </w:p>
    <w:p w:rsidR="008C5666" w:rsidRPr="00780B38" w:rsidRDefault="008C5666" w:rsidP="008C5666">
      <w:pPr>
        <w:spacing w:before="60" w:after="60"/>
        <w:ind w:right="-22"/>
        <w:rPr>
          <w:rFonts w:ascii="Times New Roman" w:hAnsi="Times New Roman"/>
          <w:sz w:val="22"/>
        </w:rPr>
      </w:pPr>
      <w:r w:rsidRPr="00780B38">
        <w:rPr>
          <w:rFonts w:ascii="Times New Roman" w:hAnsi="Times New Roman"/>
          <w:sz w:val="22"/>
        </w:rPr>
        <w:t xml:space="preserve">"Robespierre et la religion dans l’historiographie (1794-2012)" dans </w:t>
      </w:r>
      <w:r w:rsidRPr="00780B38">
        <w:rPr>
          <w:rFonts w:ascii="Times New Roman" w:hAnsi="Times New Roman"/>
          <w:i/>
          <w:sz w:val="22"/>
        </w:rPr>
        <w:t>Henri Guillemin et la Révolution française : le moment Robespierre</w:t>
      </w:r>
      <w:r w:rsidRPr="00780B38">
        <w:rPr>
          <w:rFonts w:ascii="Times New Roman" w:hAnsi="Times New Roman"/>
          <w:sz w:val="22"/>
        </w:rPr>
        <w:t>, Paris, Utovie, 2014, p. 115-131.</w:t>
      </w:r>
    </w:p>
    <w:p w:rsidR="008C5666" w:rsidRPr="00780B38" w:rsidRDefault="008C5666" w:rsidP="008C5666">
      <w:pPr>
        <w:spacing w:before="60" w:after="60"/>
        <w:ind w:right="-22"/>
        <w:rPr>
          <w:rFonts w:ascii="Times New Roman" w:hAnsi="Times New Roman"/>
          <w:sz w:val="22"/>
        </w:rPr>
      </w:pPr>
      <w:r w:rsidRPr="00780B38">
        <w:rPr>
          <w:rFonts w:ascii="Times New Roman" w:hAnsi="Times New Roman"/>
          <w:sz w:val="22"/>
        </w:rPr>
        <w:t xml:space="preserve">"Handel, Diplomatie und nationale Macht in der Französichen Revolution (1789-1799)" dans </w:t>
      </w:r>
      <w:r w:rsidRPr="00780B38">
        <w:rPr>
          <w:rFonts w:ascii="Times New Roman" w:hAnsi="Times New Roman"/>
          <w:i/>
          <w:sz w:val="22"/>
        </w:rPr>
        <w:t>Der Moderne Staat und "Le doux commerce"</w:t>
      </w:r>
      <w:r w:rsidRPr="00780B38">
        <w:rPr>
          <w:rFonts w:ascii="Times New Roman" w:hAnsi="Times New Roman"/>
          <w:sz w:val="22"/>
        </w:rPr>
        <w:t>, Olaf Asbach (dir.), Nomos Publishers, 2014, p. 229-251.</w:t>
      </w:r>
    </w:p>
    <w:p w:rsidR="008C5666" w:rsidRPr="00780B38" w:rsidRDefault="008C5666" w:rsidP="008C5666">
      <w:pPr>
        <w:spacing w:before="60" w:after="60"/>
        <w:ind w:right="-22"/>
        <w:rPr>
          <w:rFonts w:ascii="Times New Roman" w:hAnsi="Times New Roman"/>
          <w:sz w:val="22"/>
        </w:rPr>
      </w:pPr>
      <w:r w:rsidRPr="00780B38">
        <w:rPr>
          <w:rFonts w:ascii="Times New Roman" w:hAnsi="Times New Roman"/>
          <w:sz w:val="22"/>
        </w:rPr>
        <w:t>"Les Lumières, le droit public de l’Europe et la première partition de la Pologne" dans Leszek Kanczugowski (dir.), C</w:t>
      </w:r>
      <w:r w:rsidRPr="00780B38">
        <w:rPr>
          <w:rFonts w:ascii="Times New Roman" w:hAnsi="Times New Roman"/>
          <w:i/>
          <w:sz w:val="22"/>
        </w:rPr>
        <w:t>onstruction d’un imaginaire collectif européen. De la Renaissance aux Lumières</w:t>
      </w:r>
      <w:r w:rsidRPr="00780B38">
        <w:rPr>
          <w:rFonts w:ascii="Times New Roman" w:hAnsi="Times New Roman"/>
          <w:sz w:val="22"/>
        </w:rPr>
        <w:t> :</w:t>
      </w:r>
      <w:r w:rsidRPr="00780B38">
        <w:rPr>
          <w:rFonts w:ascii="Times New Roman" w:hAnsi="Times New Roman"/>
          <w:i/>
          <w:sz w:val="22"/>
        </w:rPr>
        <w:t xml:space="preserve"> Allemagne, France, Pologne. Unité et Diversité, </w:t>
      </w:r>
      <w:r w:rsidRPr="00780B38">
        <w:rPr>
          <w:rFonts w:ascii="Times New Roman" w:hAnsi="Times New Roman"/>
          <w:sz w:val="22"/>
        </w:rPr>
        <w:t>2014, p. 117-135.</w:t>
      </w:r>
    </w:p>
    <w:p w:rsidR="008C5666" w:rsidRPr="00780B38" w:rsidRDefault="008C5666" w:rsidP="008C5666">
      <w:pPr>
        <w:spacing w:before="60" w:after="60"/>
        <w:ind w:right="-22"/>
        <w:rPr>
          <w:rFonts w:ascii="Times New Roman" w:hAnsi="Times New Roman"/>
          <w:sz w:val="22"/>
        </w:rPr>
      </w:pPr>
      <w:r w:rsidRPr="00780B38">
        <w:rPr>
          <w:rFonts w:ascii="Times New Roman" w:hAnsi="Times New Roman"/>
          <w:sz w:val="22"/>
        </w:rPr>
        <w:t xml:space="preserve">"War and Diplomacy (1792-1795)" dans </w:t>
      </w:r>
      <w:r w:rsidRPr="00780B38">
        <w:rPr>
          <w:rFonts w:ascii="Times New Roman" w:hAnsi="Times New Roman"/>
          <w:i/>
          <w:sz w:val="22"/>
        </w:rPr>
        <w:t>Oxford Handbook of the French Revolution</w:t>
      </w:r>
      <w:r w:rsidRPr="00780B38">
        <w:rPr>
          <w:rFonts w:ascii="Times New Roman" w:hAnsi="Times New Roman"/>
          <w:sz w:val="22"/>
        </w:rPr>
        <w:t>, David Andress (dir.), Oxford, Oxford University Press, 2015, p. 418-435.</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w:t>
      </w:r>
      <w:r w:rsidRPr="00780B38">
        <w:rPr>
          <w:rFonts w:ascii="Times New Roman" w:hAnsi="Times New Roman"/>
          <w:i/>
          <w:sz w:val="22"/>
        </w:rPr>
        <w:t>Relier en un tome les cinq volumes du Directoire</w:t>
      </w:r>
      <w:r w:rsidRPr="00780B38">
        <w:rPr>
          <w:rFonts w:ascii="Times New Roman" w:hAnsi="Times New Roman"/>
          <w:sz w:val="22"/>
        </w:rPr>
        <w:t xml:space="preserve"> ou la république monarchique de Charles-François Dumouriez (1795)" dans Yannick Bosc et alii, </w:t>
      </w:r>
      <w:r w:rsidRPr="00780B38">
        <w:rPr>
          <w:rFonts w:ascii="Times New Roman" w:hAnsi="Times New Roman"/>
          <w:i/>
          <w:sz w:val="22"/>
        </w:rPr>
        <w:t>Cultures du Républicanisme. Pratiques, représentations, concepts de la Révolution anglaise à aujourd’hui,</w:t>
      </w:r>
      <w:r w:rsidRPr="00780B38">
        <w:rPr>
          <w:rFonts w:ascii="Times New Roman" w:hAnsi="Times New Roman"/>
          <w:sz w:val="22"/>
        </w:rPr>
        <w:t xml:space="preserve"> Paris, Kimé, 2015, p. 73-86.</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"Continuités et ruptures entre l’Ancien Régime dans les traités du Directoire et du Consulat" dans </w:t>
      </w:r>
      <w:r w:rsidRPr="00780B38">
        <w:rPr>
          <w:rFonts w:ascii="Times New Roman" w:hAnsi="Times New Roman"/>
          <w:i/>
          <w:sz w:val="22"/>
        </w:rPr>
        <w:t>Diplomatique et diplomatie. Les traités (Moyen Age- début du XIXe siècle</w:t>
      </w:r>
      <w:r w:rsidRPr="00780B38">
        <w:rPr>
          <w:rFonts w:ascii="Times New Roman" w:hAnsi="Times New Roman"/>
          <w:sz w:val="22"/>
        </w:rPr>
        <w:t>, études réunies par Olivier Poncet, Paris, École des Chartes, 2015, p. 45-65.</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"Robespierre et la vertu : tours et détours des légendes noire et dorée" dans </w:t>
      </w:r>
      <w:r w:rsidRPr="00780B38">
        <w:rPr>
          <w:rFonts w:ascii="Times New Roman" w:hAnsi="Times New Roman"/>
          <w:i/>
          <w:sz w:val="22"/>
        </w:rPr>
        <w:t>Vertu et politique. Les pratiques des législateurs, 1789-2014</w:t>
      </w:r>
      <w:r w:rsidRPr="00780B38">
        <w:rPr>
          <w:rFonts w:ascii="Times New Roman" w:hAnsi="Times New Roman"/>
          <w:sz w:val="22"/>
        </w:rPr>
        <w:t xml:space="preserve">, Michel Biard et alii (dir.), Rennes, PUR, </w:t>
      </w:r>
      <w:r>
        <w:rPr>
          <w:rFonts w:ascii="Times New Roman" w:hAnsi="Times New Roman"/>
          <w:sz w:val="22"/>
        </w:rPr>
        <w:t xml:space="preserve">2015, </w:t>
      </w:r>
      <w:r w:rsidRPr="00780B38">
        <w:rPr>
          <w:rFonts w:ascii="Times New Roman" w:hAnsi="Times New Roman"/>
          <w:sz w:val="22"/>
        </w:rPr>
        <w:t>p. 397-401.</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"De la critique de 'l’art de négocier' à l’apprentissage de la 'politique'. Mort du 'bon ambassadeur' et apparition du 'diplomate'" (c. 1750- c. 1830" dans Stefano Andretta, Stéphane Pecquignot, Jean-Claude Waquet (dir.), </w:t>
      </w:r>
      <w:r w:rsidRPr="00780B38">
        <w:rPr>
          <w:rFonts w:ascii="Times New Roman" w:hAnsi="Times New Roman"/>
          <w:i/>
          <w:sz w:val="22"/>
        </w:rPr>
        <w:t>De l’ambassadeur. Les écrits relatifs à l’ambassadeur et l’art de négocier du Moyen Age au début du XIXe siècle</w:t>
      </w:r>
      <w:r w:rsidRPr="00780B38">
        <w:rPr>
          <w:rFonts w:ascii="Times New Roman" w:hAnsi="Times New Roman"/>
          <w:sz w:val="22"/>
        </w:rPr>
        <w:t>, Rome, Ecole française de Rome, 2015, p. 523-558.</w:t>
      </w:r>
    </w:p>
    <w:p w:rsidR="008C5666" w:rsidRPr="00780B38" w:rsidRDefault="008C5666" w:rsidP="008C5666">
      <w:pPr>
        <w:pStyle w:val="En-tte"/>
        <w:tabs>
          <w:tab w:val="clear" w:pos="4536"/>
          <w:tab w:val="clear" w:pos="9072"/>
        </w:tabs>
        <w:spacing w:before="60" w:after="60"/>
        <w:jc w:val="both"/>
        <w:rPr>
          <w:rFonts w:ascii="Times New Roman" w:hAnsi="Times New Roman"/>
          <w:sz w:val="22"/>
        </w:rPr>
      </w:pPr>
      <w:r w:rsidRPr="00780B38">
        <w:rPr>
          <w:rFonts w:ascii="Times New Roman" w:hAnsi="Times New Roman"/>
          <w:sz w:val="22"/>
        </w:rPr>
        <w:t xml:space="preserve">"La galerie des 'grands hommes' de la Révolution" dans Philippe Bourdin et Cyril Triolaire (dir.), </w:t>
      </w:r>
      <w:r w:rsidRPr="00780B38">
        <w:rPr>
          <w:rFonts w:ascii="Times New Roman" w:hAnsi="Times New Roman"/>
          <w:i/>
          <w:sz w:val="22"/>
        </w:rPr>
        <w:t>Comprendre et enseigner la Révolution française</w:t>
      </w:r>
      <w:r w:rsidRPr="00780B38">
        <w:rPr>
          <w:rFonts w:ascii="Times New Roman" w:hAnsi="Times New Roman"/>
          <w:sz w:val="22"/>
        </w:rPr>
        <w:t>, Paris, Belin, 2015, p. 210-224.</w:t>
      </w:r>
    </w:p>
    <w:p w:rsidR="008C5666" w:rsidRPr="00780B38" w:rsidRDefault="008C5666" w:rsidP="008C5666">
      <w:pPr>
        <w:pStyle w:val="Textecourant"/>
        <w:spacing w:before="60" w:after="60" w:line="240" w:lineRule="auto"/>
        <w:ind w:firstLine="0"/>
        <w:rPr>
          <w:rFonts w:ascii="Times New Roman" w:hAnsi="Times New Roman"/>
          <w:iCs/>
          <w:sz w:val="22"/>
        </w:rPr>
      </w:pPr>
      <w:r w:rsidRPr="00780B38">
        <w:rPr>
          <w:rFonts w:ascii="Times New Roman" w:hAnsi="Times New Roman"/>
          <w:sz w:val="22"/>
        </w:rPr>
        <w:t xml:space="preserve">"Faire la guerre pour avoir le droit d’être neutre ? Les enjeux politiques de la neutralité américaine (1776-1812)" dans </w:t>
      </w:r>
      <w:r w:rsidRPr="00780B38">
        <w:rPr>
          <w:rFonts w:ascii="Times New Roman" w:hAnsi="Times New Roman"/>
          <w:bCs/>
          <w:sz w:val="22"/>
        </w:rPr>
        <w:t xml:space="preserve">Eric Schnakenbourg (dir.) , </w:t>
      </w:r>
      <w:r w:rsidRPr="00780B38">
        <w:rPr>
          <w:rFonts w:ascii="Times New Roman" w:hAnsi="Times New Roman"/>
          <w:i/>
          <w:iCs/>
          <w:sz w:val="22"/>
        </w:rPr>
        <w:t>Neutres et neutralité dans l’espace atlantique durant le long XVIIIe siècle (1700-1820). Une approche globale</w:t>
      </w:r>
      <w:r w:rsidRPr="00780B38">
        <w:rPr>
          <w:rFonts w:ascii="Times New Roman" w:hAnsi="Times New Roman"/>
          <w:iCs/>
          <w:sz w:val="22"/>
        </w:rPr>
        <w:t>, Rennes, Les Perséides, 2015, p. 405-429.</w:t>
      </w:r>
    </w:p>
    <w:p w:rsidR="008C5666" w:rsidRDefault="008C5666" w:rsidP="008C5666">
      <w:pPr>
        <w:pStyle w:val="Textecourant"/>
        <w:spacing w:before="60" w:after="60" w:line="240" w:lineRule="auto"/>
        <w:ind w:firstLine="0"/>
        <w:rPr>
          <w:rFonts w:ascii="Times New Roman" w:hAnsi="Times New Roman"/>
          <w:sz w:val="22"/>
        </w:rPr>
      </w:pPr>
      <w:r w:rsidRPr="00780B38">
        <w:rPr>
          <w:rFonts w:ascii="Times New Roman" w:hAnsi="Times New Roman"/>
          <w:sz w:val="22"/>
        </w:rPr>
        <w:t xml:space="preserve">"Thomas Paine's Lessons in Republicanism, 1802-1807" dans </w:t>
      </w:r>
      <w:r w:rsidRPr="00780B38">
        <w:rPr>
          <w:rFonts w:ascii="Times New Roman" w:hAnsi="Times New Roman"/>
          <w:i/>
          <w:sz w:val="22"/>
        </w:rPr>
        <w:t>New Directions in Thomas Paine Studies</w:t>
      </w:r>
      <w:r w:rsidRPr="00780B38">
        <w:rPr>
          <w:rFonts w:ascii="Times New Roman" w:hAnsi="Times New Roman"/>
          <w:sz w:val="22"/>
        </w:rPr>
        <w:t>, ed. by Scott Cleary and Ivy Linton Stabell, New York, London, Palgrave MacMillan, 2016, p.157-174.</w:t>
      </w:r>
    </w:p>
    <w:p w:rsidR="008C5666" w:rsidRDefault="008C5666" w:rsidP="008C5666">
      <w:pPr>
        <w:rPr>
          <w:rStyle w:val="A21"/>
          <w:rFonts w:ascii="Times New Roman" w:hAnsi="Times New Roman"/>
          <w:i w:val="0"/>
          <w:sz w:val="22"/>
        </w:rPr>
      </w:pPr>
      <w:r w:rsidRPr="00EF3470">
        <w:rPr>
          <w:rFonts w:ascii="Times New Roman" w:hAnsi="Times New Roman"/>
          <w:sz w:val="22"/>
        </w:rPr>
        <w:t xml:space="preserve">"Protektion im Gefolge der Französischen Revolution. Kontrollierte Völker protegieren oder protegierte Völker kontrollieren (1789–1799)?" dans </w:t>
      </w:r>
      <w:r>
        <w:rPr>
          <w:rStyle w:val="A0"/>
          <w:rFonts w:ascii="Times New Roman" w:hAnsi="Times New Roman"/>
          <w:sz w:val="22"/>
        </w:rPr>
        <w:t xml:space="preserve">Tilman Haug, </w:t>
      </w:r>
      <w:r w:rsidRPr="00EF3470">
        <w:rPr>
          <w:rStyle w:val="A0"/>
          <w:rFonts w:ascii="Times New Roman" w:hAnsi="Times New Roman"/>
          <w:sz w:val="22"/>
        </w:rPr>
        <w:t xml:space="preserve">Nadir Weber </w:t>
      </w:r>
      <w:r>
        <w:rPr>
          <w:rFonts w:ascii="Times New Roman" w:hAnsi="Times New Roman" w:cs="Garamond"/>
          <w:color w:val="1C1C1A"/>
          <w:sz w:val="22"/>
          <w:szCs w:val="26"/>
        </w:rPr>
        <w:t xml:space="preserve">, </w:t>
      </w:r>
      <w:r w:rsidRPr="00EF3470">
        <w:rPr>
          <w:rStyle w:val="A0"/>
          <w:rFonts w:ascii="Times New Roman" w:hAnsi="Times New Roman"/>
          <w:sz w:val="22"/>
        </w:rPr>
        <w:t>Christian Windler (Hg.)</w:t>
      </w:r>
      <w:r>
        <w:rPr>
          <w:rStyle w:val="A0"/>
          <w:rFonts w:ascii="Times New Roman" w:hAnsi="Times New Roman"/>
          <w:sz w:val="22"/>
        </w:rPr>
        <w:t xml:space="preserve">, </w:t>
      </w:r>
      <w:r w:rsidRPr="00EF3470">
        <w:rPr>
          <w:rStyle w:val="A11"/>
          <w:rFonts w:ascii="Times New Roman" w:hAnsi="Times New Roman"/>
          <w:i/>
          <w:sz w:val="22"/>
        </w:rPr>
        <w:t xml:space="preserve">Protegierte und Protektoren. </w:t>
      </w:r>
      <w:r w:rsidRPr="00EF3470">
        <w:rPr>
          <w:rStyle w:val="A21"/>
          <w:rFonts w:ascii="Times New Roman" w:hAnsi="Times New Roman"/>
          <w:sz w:val="22"/>
        </w:rPr>
        <w:t>Asymmetrische politische Beziehungen zwischen Partnerschaft und Dominanz (16. bis frühes 20. Jahrhundert)</w:t>
      </w:r>
      <w:r>
        <w:rPr>
          <w:rStyle w:val="A21"/>
          <w:rFonts w:ascii="Times New Roman" w:hAnsi="Times New Roman"/>
          <w:i w:val="0"/>
          <w:sz w:val="22"/>
        </w:rPr>
        <w:t xml:space="preserve">, </w:t>
      </w:r>
      <w:r w:rsidRPr="00EF3470">
        <w:rPr>
          <w:rFonts w:ascii="Times New Roman" w:hAnsi="Times New Roman" w:cs="Garamond"/>
          <w:iCs/>
          <w:color w:val="1C1C1A"/>
          <w:sz w:val="22"/>
          <w:szCs w:val="42"/>
        </w:rPr>
        <w:t>Köln</w:t>
      </w:r>
      <w:r>
        <w:rPr>
          <w:rFonts w:ascii="Times New Roman" w:hAnsi="Times New Roman" w:cs="Garamond"/>
          <w:iCs/>
          <w:color w:val="1C1C1A"/>
          <w:sz w:val="22"/>
          <w:szCs w:val="42"/>
        </w:rPr>
        <w:t>-</w:t>
      </w:r>
      <w:r w:rsidRPr="00EF3470">
        <w:rPr>
          <w:rFonts w:ascii="Times New Roman" w:hAnsi="Times New Roman" w:cs="Garamond"/>
          <w:iCs/>
          <w:color w:val="1C1C1A"/>
          <w:sz w:val="22"/>
          <w:szCs w:val="42"/>
        </w:rPr>
        <w:t>Weimar</w:t>
      </w:r>
      <w:r>
        <w:rPr>
          <w:rFonts w:ascii="Times New Roman" w:hAnsi="Times New Roman" w:cs="Garamond"/>
          <w:iCs/>
          <w:color w:val="1C1C1A"/>
          <w:sz w:val="22"/>
          <w:szCs w:val="42"/>
        </w:rPr>
        <w:t>-W</w:t>
      </w:r>
      <w:r w:rsidRPr="00EF3470">
        <w:rPr>
          <w:rFonts w:ascii="Times New Roman" w:hAnsi="Times New Roman" w:cs="Garamond"/>
          <w:iCs/>
          <w:color w:val="1C1C1A"/>
          <w:sz w:val="22"/>
          <w:szCs w:val="42"/>
        </w:rPr>
        <w:t>ien</w:t>
      </w:r>
      <w:r>
        <w:rPr>
          <w:rFonts w:ascii="Times New Roman" w:hAnsi="Times New Roman" w:cs="Garamond"/>
          <w:iCs/>
          <w:color w:val="1C1C1A"/>
          <w:sz w:val="22"/>
          <w:szCs w:val="42"/>
        </w:rPr>
        <w:t xml:space="preserve">, </w:t>
      </w:r>
      <w:r w:rsidRPr="00EF3470">
        <w:rPr>
          <w:rFonts w:ascii="Times New Roman" w:hAnsi="Times New Roman" w:cs="Garamond"/>
          <w:iCs/>
          <w:color w:val="1C1C1A"/>
          <w:sz w:val="22"/>
          <w:szCs w:val="42"/>
        </w:rPr>
        <w:t>Böhlau Verlag</w:t>
      </w:r>
      <w:r>
        <w:rPr>
          <w:rFonts w:ascii="Times New Roman" w:hAnsi="Times New Roman" w:cs="Garamond"/>
          <w:iCs/>
          <w:color w:val="1C1C1A"/>
          <w:sz w:val="22"/>
          <w:szCs w:val="42"/>
        </w:rPr>
        <w:t>,</w:t>
      </w:r>
      <w:r w:rsidRPr="00EF3470">
        <w:rPr>
          <w:rFonts w:ascii="Times New Roman" w:hAnsi="Times New Roman" w:cs="Garamond"/>
          <w:iCs/>
          <w:color w:val="1C1C1A"/>
          <w:sz w:val="22"/>
          <w:szCs w:val="42"/>
        </w:rPr>
        <w:t xml:space="preserve"> </w:t>
      </w:r>
      <w:r>
        <w:rPr>
          <w:rFonts w:ascii="Times New Roman" w:hAnsi="Times New Roman" w:cs="Garamond"/>
          <w:iCs/>
          <w:color w:val="1C1C1A"/>
          <w:sz w:val="22"/>
          <w:szCs w:val="42"/>
        </w:rPr>
        <w:t>2016,</w:t>
      </w:r>
      <w:r w:rsidRPr="00EF3470">
        <w:rPr>
          <w:rFonts w:ascii="Times New Roman" w:hAnsi="Times New Roman" w:cs="Garamond"/>
          <w:iCs/>
          <w:color w:val="1C1C1A"/>
          <w:sz w:val="22"/>
          <w:szCs w:val="42"/>
        </w:rPr>
        <w:t xml:space="preserve"> </w:t>
      </w:r>
      <w:r>
        <w:rPr>
          <w:rStyle w:val="A21"/>
          <w:rFonts w:ascii="Times New Roman" w:hAnsi="Times New Roman"/>
          <w:i w:val="0"/>
          <w:sz w:val="22"/>
        </w:rPr>
        <w:t>p. 217-232.</w:t>
      </w:r>
    </w:p>
    <w:p w:rsidR="008C5666" w:rsidRDefault="008C5666" w:rsidP="008C5666">
      <w:pPr>
        <w:spacing w:before="60" w:after="60"/>
        <w:rPr>
          <w:rStyle w:val="A21"/>
          <w:rFonts w:ascii="Times New Roman" w:hAnsi="Times New Roman"/>
          <w:i w:val="0"/>
          <w:sz w:val="22"/>
        </w:rPr>
      </w:pPr>
      <w:r>
        <w:rPr>
          <w:rStyle w:val="A21"/>
          <w:rFonts w:ascii="Times New Roman" w:hAnsi="Times New Roman"/>
          <w:i w:val="0"/>
          <w:sz w:val="22"/>
        </w:rPr>
        <w:t xml:space="preserve">"Thémis en diplomatie : regards croisés en guise de conclusion" (avec Stéphane Pecquignot) dans </w:t>
      </w:r>
      <w:r>
        <w:rPr>
          <w:rStyle w:val="A21"/>
          <w:rFonts w:ascii="Times New Roman" w:hAnsi="Times New Roman"/>
          <w:sz w:val="22"/>
        </w:rPr>
        <w:t>Thémis en diplomatie. Droits et arguments juridiques dans les relations internationales</w:t>
      </w:r>
      <w:r>
        <w:rPr>
          <w:rStyle w:val="A21"/>
          <w:rFonts w:ascii="Times New Roman" w:hAnsi="Times New Roman"/>
          <w:i w:val="0"/>
          <w:sz w:val="22"/>
        </w:rPr>
        <w:t>, Nicolas Drocourt et Eric Schnakenbourg (dir.), Rennes, PUR, 2016, p. 303-313.</w:t>
      </w:r>
    </w:p>
    <w:p w:rsidR="008C5666" w:rsidRDefault="008C5666" w:rsidP="008C5666">
      <w:pPr>
        <w:spacing w:before="60" w:after="60"/>
        <w:rPr>
          <w:rStyle w:val="A21"/>
          <w:rFonts w:ascii="Times New Roman" w:hAnsi="Times New Roman"/>
          <w:i w:val="0"/>
          <w:sz w:val="22"/>
        </w:rPr>
      </w:pPr>
      <w:r>
        <w:rPr>
          <w:rStyle w:val="A21"/>
          <w:rFonts w:ascii="Times New Roman" w:hAnsi="Times New Roman"/>
          <w:i w:val="0"/>
          <w:sz w:val="22"/>
        </w:rPr>
        <w:t xml:space="preserve">"De l'influence de la calomnie dans la Révolution" dans </w:t>
      </w:r>
      <w:r>
        <w:rPr>
          <w:rStyle w:val="A21"/>
          <w:rFonts w:ascii="Times New Roman" w:hAnsi="Times New Roman"/>
          <w:sz w:val="22"/>
        </w:rPr>
        <w:t>Peurs, rumeurs et calomnies</w:t>
      </w:r>
      <w:r>
        <w:rPr>
          <w:rStyle w:val="A21"/>
          <w:rFonts w:ascii="Times New Roman" w:hAnsi="Times New Roman"/>
          <w:i w:val="0"/>
          <w:sz w:val="22"/>
        </w:rPr>
        <w:t>, Monique Cottret et Caroline Galland (dir.), Paris, Kimé, 2017, p. 151-170.</w:t>
      </w:r>
    </w:p>
    <w:p w:rsidR="008C5666" w:rsidRDefault="008C5666" w:rsidP="008C5666">
      <w:pPr>
        <w:spacing w:before="60" w:after="60"/>
        <w:jc w:val="both"/>
        <w:rPr>
          <w:rFonts w:ascii="Times New Roman" w:hAnsi="Times New Roman"/>
          <w:sz w:val="22"/>
        </w:rPr>
      </w:pPr>
      <w:r w:rsidRPr="00193991">
        <w:rPr>
          <w:rFonts w:ascii="Times New Roman" w:hAnsi="Times New Roman"/>
          <w:sz w:val="22"/>
        </w:rPr>
        <w:t xml:space="preserve">"Comment </w:t>
      </w:r>
      <w:r w:rsidRPr="00193991">
        <w:rPr>
          <w:rFonts w:ascii="Times New Roman" w:hAnsi="Times New Roman"/>
          <w:i/>
          <w:sz w:val="22"/>
        </w:rPr>
        <w:t>parler français</w:t>
      </w:r>
      <w:r w:rsidRPr="00193991">
        <w:rPr>
          <w:rFonts w:ascii="Times New Roman" w:hAnsi="Times New Roman"/>
          <w:sz w:val="22"/>
        </w:rPr>
        <w:t xml:space="preserve"> aux </w:t>
      </w:r>
      <w:r w:rsidRPr="00193991">
        <w:rPr>
          <w:rFonts w:ascii="Times New Roman" w:hAnsi="Times New Roman"/>
          <w:i/>
          <w:sz w:val="22"/>
        </w:rPr>
        <w:t>despotes de l'Europe</w:t>
      </w:r>
      <w:r w:rsidRPr="00193991">
        <w:rPr>
          <w:rFonts w:ascii="Times New Roman" w:hAnsi="Times New Roman"/>
          <w:sz w:val="22"/>
        </w:rPr>
        <w:t xml:space="preserve"> ? La question des normes du langage diplomatique à l'époque révolutionnaire" dans </w:t>
      </w:r>
      <w:r w:rsidRPr="00193991">
        <w:rPr>
          <w:rFonts w:ascii="Times New Roman" w:hAnsi="Times New Roman"/>
          <w:i/>
          <w:sz w:val="22"/>
        </w:rPr>
        <w:t>Les langues de la négociation. Approches historiennes</w:t>
      </w:r>
      <w:r w:rsidRPr="00193991">
        <w:rPr>
          <w:rFonts w:ascii="Times New Roman" w:hAnsi="Times New Roman"/>
          <w:sz w:val="22"/>
        </w:rPr>
        <w:t xml:space="preserve">, Déjanirah Couto et Stéphane Pecquignot (dir.), Rennes, PUR, </w:t>
      </w:r>
      <w:r>
        <w:rPr>
          <w:rFonts w:ascii="Times New Roman" w:hAnsi="Times New Roman"/>
          <w:sz w:val="22"/>
        </w:rPr>
        <w:t xml:space="preserve">2017, </w:t>
      </w:r>
      <w:r w:rsidRPr="00193991">
        <w:rPr>
          <w:rFonts w:ascii="Times New Roman" w:hAnsi="Times New Roman"/>
          <w:sz w:val="22"/>
        </w:rPr>
        <w:t>p. 219-234.</w:t>
      </w:r>
    </w:p>
    <w:p w:rsidR="008C5666" w:rsidRDefault="008C5666" w:rsidP="008C5666">
      <w:pPr>
        <w:spacing w:before="60" w:after="60"/>
        <w:jc w:val="both"/>
        <w:rPr>
          <w:rFonts w:ascii="Times New Roman" w:hAnsi="Times New Roman" w:cs="Garamond"/>
          <w:color w:val="1C1C1A"/>
          <w:sz w:val="22"/>
          <w:szCs w:val="26"/>
        </w:rPr>
      </w:pPr>
      <w:r w:rsidRPr="003B5940">
        <w:rPr>
          <w:rFonts w:ascii="Times New Roman" w:hAnsi="Times New Roman" w:cs="Garamond"/>
          <w:color w:val="1C1C1A"/>
          <w:sz w:val="22"/>
          <w:szCs w:val="26"/>
        </w:rPr>
        <w:t xml:space="preserve">"What Trade for a Republican People ? French revolutionary debates </w:t>
      </w:r>
      <w:r>
        <w:rPr>
          <w:rFonts w:ascii="Times New Roman" w:hAnsi="Times New Roman" w:cs="Garamond"/>
          <w:color w:val="1C1C1A"/>
          <w:sz w:val="22"/>
          <w:szCs w:val="26"/>
        </w:rPr>
        <w:t>about Commercial Treaties" dans</w:t>
      </w:r>
      <w:r w:rsidRPr="003B5940">
        <w:rPr>
          <w:rFonts w:ascii="Times New Roman" w:hAnsi="Times New Roman" w:cs="Garamond"/>
          <w:color w:val="1C1C1A"/>
          <w:sz w:val="22"/>
          <w:szCs w:val="26"/>
        </w:rPr>
        <w:t xml:space="preserve"> </w:t>
      </w:r>
      <w:r w:rsidRPr="003B5940">
        <w:rPr>
          <w:rFonts w:ascii="Times New Roman" w:hAnsi="Times New Roman" w:cs="Garamond"/>
          <w:i/>
          <w:color w:val="1C1C1A"/>
          <w:sz w:val="22"/>
          <w:szCs w:val="26"/>
        </w:rPr>
        <w:t>The Politics of Commercial Treaties in the Eighteenth Century</w:t>
      </w:r>
      <w:r w:rsidRPr="003B5940">
        <w:rPr>
          <w:rFonts w:ascii="Times New Roman" w:hAnsi="Times New Roman" w:cs="Garamond"/>
          <w:color w:val="1C1C1A"/>
          <w:sz w:val="22"/>
          <w:szCs w:val="26"/>
        </w:rPr>
        <w:t>, Antonella Alimento et Koen Stapelbroek (dir.),</w:t>
      </w:r>
      <w:r>
        <w:rPr>
          <w:rFonts w:ascii="Times New Roman" w:hAnsi="Times New Roman" w:cs="Garamond"/>
          <w:color w:val="1C1C1A"/>
          <w:sz w:val="22"/>
          <w:szCs w:val="26"/>
        </w:rPr>
        <w:t xml:space="preserve"> </w:t>
      </w:r>
      <w:r w:rsidRPr="003B5940">
        <w:rPr>
          <w:rFonts w:ascii="Times New Roman" w:hAnsi="Times New Roman" w:cs="Garamond"/>
          <w:color w:val="1C1C1A"/>
          <w:sz w:val="22"/>
          <w:szCs w:val="26"/>
        </w:rPr>
        <w:t>Palgrave MacMillan, 2017, p. 421-438.</w:t>
      </w:r>
    </w:p>
    <w:p w:rsidR="008C5666" w:rsidRPr="003B5940" w:rsidRDefault="008C5666" w:rsidP="008C5666">
      <w:pPr>
        <w:spacing w:before="60" w:after="60"/>
        <w:jc w:val="both"/>
        <w:rPr>
          <w:rFonts w:ascii="Times New Roman" w:hAnsi="Times New Roman" w:cs="Garamond"/>
          <w:color w:val="1C1C1A"/>
          <w:sz w:val="22"/>
          <w:szCs w:val="26"/>
        </w:rPr>
      </w:pPr>
      <w:r>
        <w:rPr>
          <w:rFonts w:ascii="Times New Roman" w:hAnsi="Times New Roman" w:cs="Garamond"/>
          <w:color w:val="1C1C1A"/>
          <w:sz w:val="22"/>
          <w:szCs w:val="26"/>
        </w:rPr>
        <w:t xml:space="preserve">« L’Irlande au XVIIe siècle : royaume ou colonie ? » dans </w:t>
      </w:r>
      <w:r w:rsidRPr="00503978">
        <w:rPr>
          <w:rFonts w:ascii="Times New Roman" w:hAnsi="Times New Roman" w:cs="Garamond"/>
          <w:i/>
          <w:color w:val="1C1C1A"/>
          <w:sz w:val="22"/>
          <w:szCs w:val="26"/>
        </w:rPr>
        <w:t>Etat, pouvoirs et contestations politiques dans les monarchies britannique et française, v. 1640 – v. 1780</w:t>
      </w:r>
      <w:r>
        <w:rPr>
          <w:rFonts w:ascii="Times New Roman" w:hAnsi="Times New Roman" w:cs="Garamond"/>
          <w:color w:val="1C1C1A"/>
          <w:sz w:val="22"/>
          <w:szCs w:val="26"/>
        </w:rPr>
        <w:t>., Deborah Cohen (dir.), Paris, Ellipses, 2018, p. 74-88.</w:t>
      </w:r>
    </w:p>
    <w:p w:rsidR="007D6B7F" w:rsidRDefault="008C5666"/>
    <w:sectPr w:rsidR="007D6B7F" w:rsidSect="00B45A75">
      <w:type w:val="continuous"/>
      <w:pgSz w:w="11906" w:h="16838"/>
      <w:pgMar w:top="1134" w:right="1134" w:bottom="1134" w:left="1134" w:footer="964" w:gutter="0"/>
      <w:cols w:space="70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manOldStyle">
    <w:altName w:val="Times"/>
    <w:panose1 w:val="00000000000000000000"/>
    <w:charset w:val="4D"/>
    <w:family w:val="auto"/>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873D7D"/>
    <w:multiLevelType w:val="hybridMultilevel"/>
    <w:tmpl w:val="36F0021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9EB20DF"/>
    <w:multiLevelType w:val="hybridMultilevel"/>
    <w:tmpl w:val="62B8A9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8115CA"/>
    <w:multiLevelType w:val="hybridMultilevel"/>
    <w:tmpl w:val="2676FD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F4411E"/>
    <w:multiLevelType w:val="hybridMultilevel"/>
    <w:tmpl w:val="A48AAF1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91F095A"/>
    <w:multiLevelType w:val="hybridMultilevel"/>
    <w:tmpl w:val="D66EB52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E835D52"/>
    <w:multiLevelType w:val="hybridMultilevel"/>
    <w:tmpl w:val="A196834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77D3C42"/>
    <w:multiLevelType w:val="hybridMultilevel"/>
    <w:tmpl w:val="E66C6E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316E60"/>
    <w:multiLevelType w:val="hybridMultilevel"/>
    <w:tmpl w:val="5650A2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C5666"/>
    <w:rsid w:val="008C5666"/>
  </w:rsids>
  <m:mathPr>
    <m:mathFont m:val="American Typewriter"/>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mbria" w:hAnsiTheme="minorHAnsi" w:cstheme="minorBidi"/>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66"/>
    <w:pPr>
      <w:spacing w:after="0"/>
    </w:pPr>
    <w:rPr>
      <w:rFonts w:ascii="Times" w:eastAsia="Times New Roman" w:hAnsi="Times" w:cs="Times New Roman"/>
      <w:sz w:val="24"/>
      <w:lang w:eastAsia="fr-FR"/>
    </w:rPr>
  </w:style>
  <w:style w:type="paragraph" w:styleId="Titre1">
    <w:name w:val="heading 1"/>
    <w:basedOn w:val="Normal"/>
    <w:next w:val="Normal"/>
    <w:qFormat/>
    <w:rsid w:val="007D6B7F"/>
    <w:pPr>
      <w:keepNext/>
      <w:spacing w:before="240" w:after="60"/>
      <w:outlineLvl w:val="0"/>
    </w:pPr>
    <w:rPr>
      <w:rFonts w:ascii="Helvetica" w:hAnsi="Helvetica"/>
      <w:b/>
      <w:kern w:val="28"/>
      <w:sz w:val="28"/>
    </w:rPr>
  </w:style>
  <w:style w:type="paragraph" w:styleId="Titre2">
    <w:name w:val="heading 2"/>
    <w:basedOn w:val="Normal"/>
    <w:next w:val="Normal"/>
    <w:qFormat/>
    <w:rsid w:val="007D6B7F"/>
    <w:pPr>
      <w:keepNext/>
      <w:spacing w:before="240" w:after="60"/>
      <w:outlineLvl w:val="1"/>
    </w:pPr>
    <w:rPr>
      <w:rFonts w:ascii="Helvetica" w:hAnsi="Helvetica"/>
      <w:b/>
      <w:i/>
    </w:rPr>
  </w:style>
  <w:style w:type="paragraph" w:styleId="Titre3">
    <w:name w:val="heading 3"/>
    <w:basedOn w:val="Normal"/>
    <w:next w:val="Normal"/>
    <w:link w:val="Titre3Car"/>
    <w:qFormat/>
    <w:rsid w:val="008C5666"/>
    <w:pPr>
      <w:keepNext/>
      <w:spacing w:before="60" w:after="60"/>
      <w:ind w:right="-22"/>
      <w:jc w:val="both"/>
      <w:outlineLvl w:val="2"/>
    </w:pPr>
    <w:rPr>
      <w:rFonts w:ascii="Times New Roman" w:hAnsi="Times New Roman"/>
      <w:b/>
    </w:rPr>
  </w:style>
  <w:style w:type="paragraph" w:styleId="Titre4">
    <w:name w:val="heading 4"/>
    <w:basedOn w:val="Normal"/>
    <w:next w:val="Normal"/>
    <w:link w:val="Titre4Car"/>
    <w:qFormat/>
    <w:rsid w:val="008C5666"/>
    <w:pPr>
      <w:keepNext/>
      <w:ind w:right="-22" w:firstLine="20"/>
      <w:jc w:val="center"/>
      <w:outlineLvl w:val="3"/>
    </w:pPr>
    <w:rPr>
      <w:rFonts w:ascii="Times New Roman" w:hAnsi="Times New Roman"/>
      <w:b/>
      <w:color w:val="FF0000"/>
    </w:rPr>
  </w:style>
  <w:style w:type="paragraph" w:styleId="Titre5">
    <w:name w:val="heading 5"/>
    <w:basedOn w:val="Normal"/>
    <w:next w:val="Normal"/>
    <w:link w:val="Titre5Car"/>
    <w:qFormat/>
    <w:rsid w:val="008C5666"/>
    <w:pPr>
      <w:keepNext/>
      <w:ind w:right="-22"/>
      <w:jc w:val="center"/>
      <w:outlineLvl w:val="4"/>
    </w:pPr>
    <w:rPr>
      <w:rFonts w:ascii="Times New Roman" w:hAnsi="Times New Roman"/>
      <w:b/>
      <w:color w:val="FF000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Texteaprscitation"/>
    <w:rsid w:val="007D6B7F"/>
    <w:pPr>
      <w:spacing w:before="240" w:after="240" w:line="240" w:lineRule="exact"/>
      <w:ind w:left="709" w:firstLine="567"/>
    </w:pPr>
  </w:style>
  <w:style w:type="paragraph" w:customStyle="1" w:styleId="Exergue">
    <w:name w:val="Exergue"/>
    <w:basedOn w:val="Normal"/>
    <w:next w:val="Normal"/>
    <w:rsid w:val="007D6B7F"/>
    <w:pPr>
      <w:spacing w:before="600" w:after="1200" w:line="240" w:lineRule="exact"/>
      <w:ind w:left="3969" w:firstLine="567"/>
    </w:pPr>
    <w:rPr>
      <w:i/>
    </w:rPr>
  </w:style>
  <w:style w:type="paragraph" w:customStyle="1" w:styleId="Posie">
    <w:name w:val="Poésie"/>
    <w:basedOn w:val="Normal"/>
    <w:next w:val="Normal"/>
    <w:rsid w:val="007D6B7F"/>
    <w:pPr>
      <w:spacing w:before="240" w:after="240"/>
      <w:ind w:left="709"/>
    </w:pPr>
  </w:style>
  <w:style w:type="paragraph" w:customStyle="1" w:styleId="Texteaprscitation">
    <w:name w:val="Texte après citation"/>
    <w:basedOn w:val="Normal"/>
    <w:next w:val="Textecourant"/>
    <w:rsid w:val="007D6B7F"/>
    <w:pPr>
      <w:spacing w:line="360" w:lineRule="atLeast"/>
      <w:ind w:firstLine="284"/>
      <w:jc w:val="both"/>
    </w:pPr>
  </w:style>
  <w:style w:type="paragraph" w:customStyle="1" w:styleId="Textecourant">
    <w:name w:val="Texte courant"/>
    <w:basedOn w:val="Normal"/>
    <w:rsid w:val="007D6B7F"/>
    <w:pPr>
      <w:spacing w:line="360" w:lineRule="atLeast"/>
      <w:ind w:firstLine="709"/>
      <w:jc w:val="both"/>
    </w:pPr>
  </w:style>
  <w:style w:type="paragraph" w:styleId="Notedebasdepage">
    <w:name w:val="footnote text"/>
    <w:basedOn w:val="Normal"/>
    <w:unhideWhenUsed/>
    <w:rsid w:val="00CD7F38"/>
    <w:rPr>
      <w:rFonts w:eastAsia="Calibri"/>
      <w:sz w:val="20"/>
      <w:szCs w:val="24"/>
    </w:rPr>
  </w:style>
  <w:style w:type="paragraph" w:customStyle="1" w:styleId="Titredesection">
    <w:name w:val="Titre de section"/>
    <w:basedOn w:val="Normal"/>
    <w:next w:val="Textecourant"/>
    <w:rsid w:val="007D6B7F"/>
    <w:pPr>
      <w:spacing w:before="360" w:after="360"/>
    </w:pPr>
    <w:rPr>
      <w:i/>
    </w:rPr>
  </w:style>
  <w:style w:type="paragraph" w:customStyle="1" w:styleId="TitrechapitreA">
    <w:name w:val="Titre chapitre A"/>
    <w:basedOn w:val="Normal"/>
    <w:rsid w:val="007D6B7F"/>
    <w:pPr>
      <w:spacing w:before="600" w:after="1000"/>
      <w:jc w:val="center"/>
    </w:pPr>
    <w:rPr>
      <w:caps/>
    </w:rPr>
  </w:style>
  <w:style w:type="paragraph" w:customStyle="1" w:styleId="TitrechapitreB">
    <w:name w:val="Titre chapitre B"/>
    <w:basedOn w:val="Titre1"/>
    <w:rsid w:val="007D6B7F"/>
    <w:pPr>
      <w:keepNext w:val="0"/>
      <w:widowControl w:val="0"/>
      <w:spacing w:before="600" w:after="1000"/>
      <w:jc w:val="center"/>
    </w:pPr>
    <w:rPr>
      <w:rFonts w:ascii="Times" w:hAnsi="Times"/>
      <w:b w:val="0"/>
      <w:kern w:val="0"/>
      <w:sz w:val="48"/>
    </w:rPr>
  </w:style>
  <w:style w:type="paragraph" w:customStyle="1" w:styleId="TitrepartieA">
    <w:name w:val="Titre partie A"/>
    <w:basedOn w:val="Normal"/>
    <w:rsid w:val="007D6B7F"/>
    <w:pPr>
      <w:spacing w:before="3000" w:after="1000"/>
      <w:jc w:val="center"/>
    </w:pPr>
    <w:rPr>
      <w:caps/>
    </w:rPr>
  </w:style>
  <w:style w:type="paragraph" w:customStyle="1" w:styleId="TitrepartieB">
    <w:name w:val="Titre partie B"/>
    <w:basedOn w:val="Titre2"/>
    <w:rsid w:val="007D6B7F"/>
    <w:pPr>
      <w:keepNext w:val="0"/>
      <w:widowControl w:val="0"/>
      <w:spacing w:before="600" w:after="1000"/>
      <w:jc w:val="center"/>
    </w:pPr>
    <w:rPr>
      <w:rFonts w:ascii="Times" w:hAnsi="Times"/>
      <w:b w:val="0"/>
      <w:i w:val="0"/>
      <w:sz w:val="48"/>
    </w:rPr>
  </w:style>
  <w:style w:type="character" w:styleId="Marquenotebasdepage">
    <w:name w:val="footnote reference"/>
    <w:basedOn w:val="Policepardfaut"/>
    <w:uiPriority w:val="99"/>
    <w:semiHidden/>
    <w:unhideWhenUsed/>
    <w:rsid w:val="00664CBF"/>
    <w:rPr>
      <w:vertAlign w:val="superscript"/>
    </w:rPr>
  </w:style>
  <w:style w:type="character" w:customStyle="1" w:styleId="Titre3Car">
    <w:name w:val="Titre 3 Car"/>
    <w:basedOn w:val="Policepardfaut"/>
    <w:link w:val="Titre3"/>
    <w:rsid w:val="008C5666"/>
    <w:rPr>
      <w:rFonts w:ascii="Times New Roman" w:eastAsia="Times New Roman" w:hAnsi="Times New Roman" w:cs="Times New Roman"/>
      <w:b/>
      <w:sz w:val="24"/>
      <w:lang w:eastAsia="fr-FR"/>
    </w:rPr>
  </w:style>
  <w:style w:type="character" w:customStyle="1" w:styleId="Titre4Car">
    <w:name w:val="Titre 4 Car"/>
    <w:basedOn w:val="Policepardfaut"/>
    <w:link w:val="Titre4"/>
    <w:rsid w:val="008C5666"/>
    <w:rPr>
      <w:rFonts w:ascii="Times New Roman" w:eastAsia="Times New Roman" w:hAnsi="Times New Roman" w:cs="Times New Roman"/>
      <w:b/>
      <w:color w:val="FF0000"/>
      <w:sz w:val="24"/>
      <w:lang w:eastAsia="fr-FR"/>
    </w:rPr>
  </w:style>
  <w:style w:type="character" w:customStyle="1" w:styleId="Titre5Car">
    <w:name w:val="Titre 5 Car"/>
    <w:basedOn w:val="Policepardfaut"/>
    <w:link w:val="Titre5"/>
    <w:rsid w:val="008C5666"/>
    <w:rPr>
      <w:rFonts w:ascii="Times New Roman" w:eastAsia="Times New Roman" w:hAnsi="Times New Roman" w:cs="Times New Roman"/>
      <w:b/>
      <w:color w:val="FF0000"/>
      <w:sz w:val="24"/>
      <w:lang w:eastAsia="fr-FR"/>
    </w:rPr>
  </w:style>
  <w:style w:type="paragraph" w:customStyle="1" w:styleId="Titrechapitre">
    <w:name w:val="Titre chapitre"/>
    <w:basedOn w:val="Normal"/>
    <w:rsid w:val="008C5666"/>
    <w:pPr>
      <w:pageBreakBefore/>
      <w:spacing w:after="480" w:line="360" w:lineRule="atLeast"/>
      <w:jc w:val="center"/>
    </w:pPr>
    <w:rPr>
      <w:b/>
      <w:u w:val="single"/>
    </w:rPr>
  </w:style>
  <w:style w:type="paragraph" w:customStyle="1" w:styleId="Titrepartie">
    <w:name w:val="Titre partie"/>
    <w:basedOn w:val="Normal"/>
    <w:rsid w:val="008C5666"/>
    <w:pPr>
      <w:pBdr>
        <w:top w:val="single" w:sz="12" w:space="30" w:color="auto" w:shadow="1"/>
        <w:left w:val="single" w:sz="12" w:space="30" w:color="auto" w:shadow="1"/>
        <w:bottom w:val="single" w:sz="12" w:space="30" w:color="auto" w:shadow="1"/>
        <w:right w:val="single" w:sz="12" w:space="30" w:color="auto" w:shadow="1"/>
      </w:pBdr>
      <w:spacing w:line="1200" w:lineRule="atLeast"/>
      <w:jc w:val="center"/>
    </w:pPr>
    <w:rPr>
      <w:b/>
      <w:sz w:val="48"/>
    </w:rPr>
  </w:style>
  <w:style w:type="paragraph" w:customStyle="1" w:styleId="Titresous-chapitre">
    <w:name w:val="Titre sous-chapitre"/>
    <w:basedOn w:val="Normal"/>
    <w:rsid w:val="008C5666"/>
    <w:pPr>
      <w:keepLines/>
      <w:spacing w:after="360"/>
    </w:pPr>
    <w:rPr>
      <w:b/>
      <w:smallCaps/>
    </w:rPr>
  </w:style>
  <w:style w:type="paragraph" w:styleId="En-tte">
    <w:name w:val="header"/>
    <w:basedOn w:val="Normal"/>
    <w:link w:val="En-tteCar"/>
    <w:rsid w:val="008C5666"/>
    <w:pPr>
      <w:tabs>
        <w:tab w:val="center" w:pos="4536"/>
        <w:tab w:val="right" w:pos="9072"/>
      </w:tabs>
    </w:pPr>
    <w:rPr>
      <w:rFonts w:ascii="New York" w:hAnsi="New York"/>
    </w:rPr>
  </w:style>
  <w:style w:type="character" w:customStyle="1" w:styleId="En-tteCar">
    <w:name w:val="En-tête Car"/>
    <w:basedOn w:val="Policepardfaut"/>
    <w:link w:val="En-tte"/>
    <w:rsid w:val="008C5666"/>
    <w:rPr>
      <w:rFonts w:ascii="New York" w:eastAsia="Times New Roman" w:hAnsi="New York" w:cs="Times New Roman"/>
      <w:sz w:val="24"/>
      <w:lang w:eastAsia="fr-FR"/>
    </w:rPr>
  </w:style>
  <w:style w:type="character" w:styleId="Numrodepage">
    <w:name w:val="page number"/>
    <w:basedOn w:val="Policepardfaut"/>
    <w:rsid w:val="008C5666"/>
  </w:style>
  <w:style w:type="paragraph" w:styleId="Corpsdetexte">
    <w:name w:val="Body Text"/>
    <w:basedOn w:val="Normal"/>
    <w:link w:val="CorpsdetexteCar"/>
    <w:rsid w:val="008C5666"/>
    <w:pPr>
      <w:spacing w:before="60" w:after="60"/>
      <w:ind w:right="-22"/>
      <w:jc w:val="both"/>
    </w:pPr>
    <w:rPr>
      <w:rFonts w:ascii="New York" w:hAnsi="New York"/>
      <w:sz w:val="20"/>
    </w:rPr>
  </w:style>
  <w:style w:type="character" w:customStyle="1" w:styleId="CorpsdetexteCar">
    <w:name w:val="Corps de texte Car"/>
    <w:basedOn w:val="Policepardfaut"/>
    <w:link w:val="Corpsdetexte"/>
    <w:rsid w:val="008C5666"/>
    <w:rPr>
      <w:rFonts w:ascii="New York" w:eastAsia="Times New Roman" w:hAnsi="New York" w:cs="Times New Roman"/>
      <w:lang w:eastAsia="fr-FR"/>
    </w:rPr>
  </w:style>
  <w:style w:type="paragraph" w:styleId="Corpsdetexte2">
    <w:name w:val="Body Text 2"/>
    <w:basedOn w:val="Normal"/>
    <w:link w:val="Corpsdetexte2Car"/>
    <w:rsid w:val="008C5666"/>
    <w:rPr>
      <w:rFonts w:ascii="New York" w:hAnsi="New York"/>
      <w:sz w:val="20"/>
    </w:rPr>
  </w:style>
  <w:style w:type="character" w:customStyle="1" w:styleId="Corpsdetexte2Car">
    <w:name w:val="Corps de texte 2 Car"/>
    <w:basedOn w:val="Policepardfaut"/>
    <w:link w:val="Corpsdetexte2"/>
    <w:rsid w:val="008C5666"/>
    <w:rPr>
      <w:rFonts w:ascii="New York" w:eastAsia="Times New Roman" w:hAnsi="New York" w:cs="Times New Roman"/>
      <w:lang w:eastAsia="fr-FR"/>
    </w:rPr>
  </w:style>
  <w:style w:type="paragraph" w:styleId="Corpsdetexte3">
    <w:name w:val="Body Text 3"/>
    <w:basedOn w:val="Normal"/>
    <w:link w:val="Corpsdetexte3Car"/>
    <w:rsid w:val="008C5666"/>
    <w:pPr>
      <w:spacing w:before="60" w:after="60"/>
      <w:ind w:right="-22"/>
      <w:jc w:val="both"/>
    </w:pPr>
    <w:rPr>
      <w:rFonts w:ascii="Times New Roman" w:hAnsi="Times New Roman"/>
    </w:rPr>
  </w:style>
  <w:style w:type="character" w:customStyle="1" w:styleId="Corpsdetexte3Car">
    <w:name w:val="Corps de texte 3 Car"/>
    <w:basedOn w:val="Policepardfaut"/>
    <w:link w:val="Corpsdetexte3"/>
    <w:rsid w:val="008C5666"/>
    <w:rPr>
      <w:rFonts w:ascii="Times New Roman" w:eastAsia="Times New Roman" w:hAnsi="Times New Roman" w:cs="Times New Roman"/>
      <w:sz w:val="24"/>
      <w:lang w:eastAsia="fr-FR"/>
    </w:rPr>
  </w:style>
  <w:style w:type="paragraph" w:styleId="Titre">
    <w:name w:val="Title"/>
    <w:basedOn w:val="Normal"/>
    <w:link w:val="TitreCar"/>
    <w:qFormat/>
    <w:rsid w:val="008C5666"/>
    <w:pPr>
      <w:jc w:val="center"/>
    </w:pPr>
    <w:rPr>
      <w:rFonts w:ascii="Times New Roman" w:hAnsi="Times New Roman"/>
      <w:b/>
      <w:sz w:val="22"/>
    </w:rPr>
  </w:style>
  <w:style w:type="character" w:customStyle="1" w:styleId="TitreCar">
    <w:name w:val="Titre Car"/>
    <w:basedOn w:val="Policepardfaut"/>
    <w:link w:val="Titre"/>
    <w:rsid w:val="008C5666"/>
    <w:rPr>
      <w:rFonts w:ascii="Times New Roman" w:eastAsia="Times New Roman" w:hAnsi="Times New Roman" w:cs="Times New Roman"/>
      <w:b/>
      <w:sz w:val="22"/>
      <w:lang w:eastAsia="fr-FR"/>
    </w:rPr>
  </w:style>
  <w:style w:type="paragraph" w:styleId="Sous-titre">
    <w:name w:val="Subtitle"/>
    <w:basedOn w:val="Normal"/>
    <w:link w:val="Sous-titreCar"/>
    <w:qFormat/>
    <w:rsid w:val="008C5666"/>
    <w:rPr>
      <w:b/>
    </w:rPr>
  </w:style>
  <w:style w:type="character" w:customStyle="1" w:styleId="Sous-titreCar">
    <w:name w:val="Sous-titre Car"/>
    <w:basedOn w:val="Policepardfaut"/>
    <w:link w:val="Sous-titre"/>
    <w:rsid w:val="008C5666"/>
    <w:rPr>
      <w:rFonts w:ascii="Times" w:eastAsia="Times New Roman" w:hAnsi="Times" w:cs="Times New Roman"/>
      <w:b/>
      <w:sz w:val="24"/>
      <w:lang w:eastAsia="fr-FR"/>
    </w:rPr>
  </w:style>
  <w:style w:type="paragraph" w:styleId="a">
    <w:basedOn w:val="Policepardfaut"/>
    <w:next w:val="Marquenotebasdepage"/>
    <w:rsid w:val="008C5666"/>
  </w:style>
  <w:style w:type="character" w:styleId="Lienhypertexte">
    <w:name w:val="Hyperlink"/>
    <w:basedOn w:val="Policepardfaut"/>
    <w:rsid w:val="008C5666"/>
    <w:rPr>
      <w:color w:val="0000FF"/>
      <w:u w:val="single"/>
    </w:rPr>
  </w:style>
  <w:style w:type="paragraph" w:styleId="Pieddepage">
    <w:name w:val="footer"/>
    <w:basedOn w:val="Normal"/>
    <w:link w:val="PieddepageCar"/>
    <w:uiPriority w:val="99"/>
    <w:semiHidden/>
    <w:unhideWhenUsed/>
    <w:rsid w:val="008C5666"/>
    <w:pPr>
      <w:tabs>
        <w:tab w:val="center" w:pos="4536"/>
        <w:tab w:val="right" w:pos="9072"/>
      </w:tabs>
    </w:pPr>
  </w:style>
  <w:style w:type="character" w:customStyle="1" w:styleId="PieddepageCar">
    <w:name w:val="Pied de page Car"/>
    <w:basedOn w:val="Policepardfaut"/>
    <w:link w:val="Pieddepage"/>
    <w:uiPriority w:val="99"/>
    <w:semiHidden/>
    <w:rsid w:val="008C5666"/>
    <w:rPr>
      <w:rFonts w:ascii="Times" w:eastAsia="Times New Roman" w:hAnsi="Times" w:cs="Times New Roman"/>
      <w:sz w:val="24"/>
      <w:lang w:eastAsia="fr-FR"/>
    </w:rPr>
  </w:style>
  <w:style w:type="paragraph" w:customStyle="1" w:styleId="style4">
    <w:name w:val="style4"/>
    <w:basedOn w:val="Normal"/>
    <w:rsid w:val="008C5666"/>
    <w:pPr>
      <w:spacing w:beforeLines="1" w:afterLines="1"/>
    </w:pPr>
    <w:rPr>
      <w:rFonts w:eastAsia="Times"/>
      <w:sz w:val="20"/>
    </w:rPr>
  </w:style>
  <w:style w:type="character" w:styleId="lev">
    <w:name w:val="Strong"/>
    <w:basedOn w:val="Policepardfaut"/>
    <w:uiPriority w:val="22"/>
    <w:rsid w:val="008C5666"/>
    <w:rPr>
      <w:b/>
    </w:rPr>
  </w:style>
  <w:style w:type="paragraph" w:customStyle="1" w:styleId="style1">
    <w:name w:val="style1"/>
    <w:basedOn w:val="Normal"/>
    <w:rsid w:val="008C5666"/>
    <w:pPr>
      <w:spacing w:beforeLines="1" w:afterLines="1"/>
    </w:pPr>
    <w:rPr>
      <w:rFonts w:eastAsia="Times"/>
      <w:sz w:val="20"/>
    </w:rPr>
  </w:style>
  <w:style w:type="character" w:customStyle="1" w:styleId="style10">
    <w:name w:val="style10"/>
    <w:basedOn w:val="Policepardfaut"/>
    <w:rsid w:val="008C5666"/>
  </w:style>
  <w:style w:type="character" w:customStyle="1" w:styleId="ktoolbox">
    <w:name w:val="ktoolbox"/>
    <w:basedOn w:val="Policepardfaut"/>
    <w:rsid w:val="008C5666"/>
  </w:style>
  <w:style w:type="paragraph" w:customStyle="1" w:styleId="Default">
    <w:name w:val="Default"/>
    <w:rsid w:val="008C5666"/>
    <w:pPr>
      <w:widowControl w:val="0"/>
      <w:autoSpaceDE w:val="0"/>
      <w:autoSpaceDN w:val="0"/>
      <w:adjustRightInd w:val="0"/>
      <w:spacing w:after="0"/>
    </w:pPr>
    <w:rPr>
      <w:rFonts w:ascii="Garamond" w:eastAsia="Times" w:hAnsi="Garamond" w:cs="Garamond"/>
      <w:color w:val="000000"/>
      <w:sz w:val="24"/>
      <w:szCs w:val="24"/>
      <w:lang w:eastAsia="fr-FR"/>
    </w:rPr>
  </w:style>
  <w:style w:type="paragraph" w:customStyle="1" w:styleId="Pa01">
    <w:name w:val="Pa0+1"/>
    <w:basedOn w:val="Default"/>
    <w:next w:val="Default"/>
    <w:uiPriority w:val="99"/>
    <w:rsid w:val="008C5666"/>
    <w:pPr>
      <w:spacing w:line="241" w:lineRule="atLeast"/>
    </w:pPr>
    <w:rPr>
      <w:rFonts w:cs="Times New Roman"/>
      <w:color w:val="auto"/>
    </w:rPr>
  </w:style>
  <w:style w:type="character" w:customStyle="1" w:styleId="A0">
    <w:name w:val="A0"/>
    <w:uiPriority w:val="99"/>
    <w:rsid w:val="008C5666"/>
    <w:rPr>
      <w:rFonts w:cs="Garamond"/>
      <w:color w:val="1C1C1A"/>
      <w:sz w:val="26"/>
      <w:szCs w:val="26"/>
    </w:rPr>
  </w:style>
  <w:style w:type="character" w:customStyle="1" w:styleId="A11">
    <w:name w:val="A1+1"/>
    <w:uiPriority w:val="99"/>
    <w:rsid w:val="008C5666"/>
    <w:rPr>
      <w:rFonts w:cs="Garamond"/>
      <w:color w:val="1C1C1A"/>
      <w:sz w:val="64"/>
      <w:szCs w:val="64"/>
    </w:rPr>
  </w:style>
  <w:style w:type="character" w:customStyle="1" w:styleId="A21">
    <w:name w:val="A2+1"/>
    <w:uiPriority w:val="99"/>
    <w:rsid w:val="008C5666"/>
    <w:rPr>
      <w:rFonts w:cs="Garamond"/>
      <w:i/>
      <w:iCs/>
      <w:color w:val="1C1C1A"/>
      <w:sz w:val="42"/>
      <w:szCs w:val="4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uevomundo.revues.org//index35192.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2478</Words>
  <Characters>14129</Characters>
  <Application>Microsoft Word 12.0.0</Application>
  <DocSecurity>0</DocSecurity>
  <Lines>117</Lines>
  <Paragraphs>28</Paragraphs>
  <ScaleCrop>false</ScaleCrop>
  <Company>Be Good</Company>
  <LinksUpToDate>false</LinksUpToDate>
  <CharactersWithSpaces>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Be Good</dc:creator>
  <cp:keywords/>
  <cp:lastModifiedBy>Johnny Be Good</cp:lastModifiedBy>
  <cp:revision>1</cp:revision>
  <dcterms:created xsi:type="dcterms:W3CDTF">2018-11-13T15:46:00Z</dcterms:created>
  <dcterms:modified xsi:type="dcterms:W3CDTF">2018-11-13T15:46:00Z</dcterms:modified>
</cp:coreProperties>
</file>