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6C" w:rsidRPr="00902A48" w:rsidRDefault="0048726C" w:rsidP="0048726C">
      <w:pPr>
        <w:jc w:val="center"/>
        <w:rPr>
          <w:b/>
          <w:smallCaps/>
          <w:sz w:val="28"/>
          <w:szCs w:val="28"/>
        </w:rPr>
      </w:pPr>
      <w:r w:rsidRPr="00902A48">
        <w:rPr>
          <w:b/>
          <w:smallCaps/>
          <w:sz w:val="28"/>
          <w:szCs w:val="28"/>
        </w:rPr>
        <w:t>Liste de publications</w:t>
      </w:r>
    </w:p>
    <w:p w:rsidR="0048726C" w:rsidRDefault="0048726C" w:rsidP="0048726C">
      <w:pPr>
        <w:jc w:val="center"/>
        <w:rPr>
          <w:b/>
          <w:smallCaps/>
        </w:rPr>
      </w:pPr>
    </w:p>
    <w:p w:rsidR="0048726C" w:rsidRPr="00784E63" w:rsidRDefault="0048726C" w:rsidP="0048726C">
      <w:pPr>
        <w:jc w:val="both"/>
        <w:rPr>
          <w:b/>
          <w:smallCaps/>
        </w:rPr>
      </w:pPr>
      <w:r w:rsidRPr="00784E63">
        <w:rPr>
          <w:b/>
          <w:smallCaps/>
        </w:rPr>
        <w:t xml:space="preserve">Ouvrage personnel </w:t>
      </w:r>
    </w:p>
    <w:p w:rsidR="0048726C" w:rsidRPr="00784E63" w:rsidRDefault="0048726C" w:rsidP="0048726C">
      <w:pPr>
        <w:ind w:left="360"/>
        <w:jc w:val="both"/>
        <w:rPr>
          <w:u w:val="single"/>
        </w:rPr>
      </w:pPr>
    </w:p>
    <w:p w:rsidR="0048726C" w:rsidRPr="0038444F" w:rsidRDefault="0048726C" w:rsidP="0048726C">
      <w:pPr>
        <w:ind w:left="357"/>
        <w:jc w:val="both"/>
      </w:pPr>
      <w:r w:rsidRPr="0038444F">
        <w:rPr>
          <w:b/>
        </w:rPr>
        <w:t xml:space="preserve">[1] </w:t>
      </w:r>
      <w:r w:rsidRPr="0038444F">
        <w:rPr>
          <w:i/>
        </w:rPr>
        <w:t>L'image des Parthes dans le monde gréco-romain de la fin du 1</w:t>
      </w:r>
      <w:r w:rsidRPr="0038444F">
        <w:rPr>
          <w:i/>
          <w:vertAlign w:val="superscript"/>
        </w:rPr>
        <w:t>er</w:t>
      </w:r>
      <w:r w:rsidRPr="0038444F">
        <w:rPr>
          <w:i/>
        </w:rPr>
        <w:t xml:space="preserve"> siècle av. J.-C. jusqu'à la fin du Haut-Empire romain</w:t>
      </w:r>
      <w:r w:rsidRPr="0038444F">
        <w:t>, Stuttgart, Steiner, 2007.</w:t>
      </w:r>
    </w:p>
    <w:p w:rsidR="0048726C" w:rsidRPr="0038444F" w:rsidRDefault="0048726C" w:rsidP="0048726C">
      <w:pPr>
        <w:jc w:val="both"/>
      </w:pPr>
    </w:p>
    <w:p w:rsidR="0048726C" w:rsidRPr="00784E63" w:rsidRDefault="0048726C" w:rsidP="0048726C">
      <w:pPr>
        <w:jc w:val="both"/>
        <w:rPr>
          <w:b/>
          <w:smallCaps/>
        </w:rPr>
      </w:pPr>
      <w:r w:rsidRPr="00784E63">
        <w:rPr>
          <w:b/>
          <w:smallCaps/>
        </w:rPr>
        <w:t>Direction d’ouvrage collectif</w:t>
      </w:r>
    </w:p>
    <w:p w:rsidR="0048726C" w:rsidRPr="00784E63" w:rsidRDefault="0048726C" w:rsidP="0048726C">
      <w:pPr>
        <w:pStyle w:val="Paragraphedeliste"/>
        <w:jc w:val="both"/>
        <w:rPr>
          <w:b/>
          <w:smallCaps/>
          <w:lang w:val="fr-FR"/>
        </w:rPr>
      </w:pPr>
    </w:p>
    <w:p w:rsidR="0048726C" w:rsidRPr="00784E63" w:rsidRDefault="0048726C" w:rsidP="0048726C">
      <w:pPr>
        <w:pStyle w:val="Paragraphedeliste"/>
        <w:ind w:left="357"/>
        <w:jc w:val="both"/>
        <w:rPr>
          <w:lang w:val="fr-FR"/>
        </w:rPr>
      </w:pPr>
      <w:r w:rsidRPr="0038444F">
        <w:rPr>
          <w:b/>
          <w:lang w:val="fr-FR"/>
        </w:rPr>
        <w:t>[2]</w:t>
      </w:r>
      <w:r w:rsidRPr="0038444F">
        <w:rPr>
          <w:lang w:val="fr-FR"/>
        </w:rPr>
        <w:t xml:space="preserve"> P. Carlier et Ch. Lerouge-Cohen </w:t>
      </w:r>
      <w:proofErr w:type="gramStart"/>
      <w:r w:rsidRPr="0038444F">
        <w:rPr>
          <w:lang w:val="fr-FR"/>
        </w:rPr>
        <w:t>éds.,</w:t>
      </w:r>
      <w:proofErr w:type="gramEnd"/>
      <w:r w:rsidRPr="0038444F">
        <w:rPr>
          <w:lang w:val="fr-FR"/>
        </w:rPr>
        <w:t xml:space="preserve"> </w:t>
      </w:r>
      <w:r w:rsidRPr="0038444F">
        <w:rPr>
          <w:i/>
          <w:lang w:val="fr-FR"/>
        </w:rPr>
        <w:t>Paysage et religion en Grèce antique.</w:t>
      </w:r>
      <w:r w:rsidRPr="0038444F">
        <w:rPr>
          <w:lang w:val="fr-FR"/>
        </w:rPr>
        <w:t xml:space="preserve"> </w:t>
      </w:r>
      <w:r w:rsidRPr="00784E63">
        <w:rPr>
          <w:i/>
          <w:lang w:val="fr-FR"/>
        </w:rPr>
        <w:t>Mélanges offerts à Madeleine Jost</w:t>
      </w:r>
      <w:r w:rsidRPr="00784E63">
        <w:rPr>
          <w:lang w:val="fr-FR"/>
        </w:rPr>
        <w:t>, Paris, Picard, 2010.</w:t>
      </w:r>
    </w:p>
    <w:p w:rsidR="0048726C" w:rsidRPr="00784E63" w:rsidRDefault="0048726C" w:rsidP="0048726C">
      <w:pPr>
        <w:pStyle w:val="Paragraphedeliste"/>
        <w:jc w:val="both"/>
        <w:rPr>
          <w:lang w:val="fr-FR"/>
        </w:rPr>
      </w:pPr>
    </w:p>
    <w:p w:rsidR="0048726C" w:rsidRPr="0038444F" w:rsidRDefault="0048726C" w:rsidP="0048726C">
      <w:pPr>
        <w:pStyle w:val="Paragraphedeliste"/>
        <w:ind w:left="357"/>
        <w:jc w:val="both"/>
        <w:rPr>
          <w:b/>
          <w:lang w:val="fr-FR"/>
        </w:rPr>
      </w:pPr>
      <w:r w:rsidRPr="0038444F">
        <w:rPr>
          <w:b/>
          <w:lang w:val="fr-FR"/>
        </w:rPr>
        <w:t xml:space="preserve">[3] </w:t>
      </w:r>
      <w:r w:rsidRPr="0038444F">
        <w:rPr>
          <w:lang w:val="fr-FR"/>
        </w:rPr>
        <w:t xml:space="preserve">Ch. Lerouge-Cohen éd., </w:t>
      </w:r>
      <w:r w:rsidRPr="0038444F">
        <w:rPr>
          <w:i/>
          <w:lang w:val="fr-FR"/>
        </w:rPr>
        <w:t>Les Arsacides héritiers des Séleucides ? Réflexions sur</w:t>
      </w:r>
      <w:r>
        <w:rPr>
          <w:i/>
          <w:lang w:val="fr-FR"/>
        </w:rPr>
        <w:t xml:space="preserve"> l’héritage hellénistique dans</w:t>
      </w:r>
      <w:r w:rsidRPr="0038444F">
        <w:rPr>
          <w:i/>
          <w:lang w:val="fr-FR"/>
        </w:rPr>
        <w:t xml:space="preserve"> les pratiques de pouvoir </w:t>
      </w:r>
      <w:r>
        <w:rPr>
          <w:i/>
          <w:lang w:val="fr-FR"/>
        </w:rPr>
        <w:t>des A</w:t>
      </w:r>
      <w:r w:rsidRPr="0038444F">
        <w:rPr>
          <w:i/>
          <w:lang w:val="fr-FR"/>
        </w:rPr>
        <w:t>rsacide. Actes de la journée d’études organisée à Nanterre le 22 novembre 2013</w:t>
      </w:r>
      <w:r w:rsidRPr="0038444F">
        <w:rPr>
          <w:lang w:val="fr-FR"/>
        </w:rPr>
        <w:t xml:space="preserve">, dossier de contributions publié dans la revue </w:t>
      </w:r>
      <w:r w:rsidRPr="0038444F">
        <w:rPr>
          <w:i/>
          <w:lang w:val="fr-FR"/>
        </w:rPr>
        <w:t>Ktèma</w:t>
      </w:r>
      <w:r>
        <w:rPr>
          <w:lang w:val="fr-FR"/>
        </w:rPr>
        <w:t xml:space="preserve"> 39</w:t>
      </w:r>
      <w:r w:rsidRPr="0038444F">
        <w:rPr>
          <w:lang w:val="fr-FR"/>
        </w:rPr>
        <w:t>.</w:t>
      </w:r>
    </w:p>
    <w:p w:rsidR="0048726C" w:rsidRPr="0038444F" w:rsidRDefault="0048726C" w:rsidP="0048726C">
      <w:pPr>
        <w:pStyle w:val="Paragraphedeliste"/>
        <w:jc w:val="both"/>
        <w:rPr>
          <w:lang w:val="fr-FR"/>
        </w:rPr>
      </w:pPr>
    </w:p>
    <w:p w:rsidR="0048726C" w:rsidRPr="00C955AA" w:rsidRDefault="0048726C" w:rsidP="00C955AA">
      <w:pPr>
        <w:jc w:val="both"/>
        <w:rPr>
          <w:b/>
          <w:smallCaps/>
        </w:rPr>
      </w:pPr>
      <w:r w:rsidRPr="0038444F">
        <w:rPr>
          <w:b/>
          <w:smallCaps/>
        </w:rPr>
        <w:t>Articles parus dans des revues à comité de lecture</w:t>
      </w:r>
    </w:p>
    <w:p w:rsidR="0048726C" w:rsidRPr="00C955AA" w:rsidRDefault="0048726C" w:rsidP="00C955AA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955AA">
        <w:rPr>
          <w:rFonts w:ascii="Times New Roman" w:hAnsi="Times New Roman" w:cs="Times New Roman"/>
          <w:b/>
          <w:sz w:val="24"/>
          <w:szCs w:val="24"/>
        </w:rPr>
        <w:t>[4]</w:t>
      </w:r>
      <w:r w:rsidRPr="00C955AA">
        <w:rPr>
          <w:rFonts w:ascii="Times New Roman" w:hAnsi="Times New Roman" w:cs="Times New Roman"/>
          <w:sz w:val="24"/>
          <w:szCs w:val="24"/>
        </w:rPr>
        <w:t xml:space="preserve"> « Les guerres parthiques de Démétrios II et Antiochos VII dans les sources gréco-romaines, de Posidonios à Justin », </w:t>
      </w:r>
      <w:r w:rsidRPr="00C955AA">
        <w:rPr>
          <w:rFonts w:ascii="Times New Roman" w:hAnsi="Times New Roman" w:cs="Times New Roman"/>
          <w:i/>
          <w:iCs/>
          <w:sz w:val="24"/>
          <w:szCs w:val="24"/>
        </w:rPr>
        <w:t>Journal des Savants</w:t>
      </w:r>
      <w:r w:rsidRPr="00C955AA">
        <w:rPr>
          <w:rFonts w:ascii="Times New Roman" w:hAnsi="Times New Roman" w:cs="Times New Roman"/>
          <w:sz w:val="24"/>
          <w:szCs w:val="24"/>
        </w:rPr>
        <w:t xml:space="preserve"> juil-déc. 2005, p. 217-252. </w:t>
      </w: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  <w:r w:rsidRPr="0038444F">
        <w:rPr>
          <w:b/>
          <w:lang w:val="fr-FR"/>
        </w:rPr>
        <w:t>[5]</w:t>
      </w:r>
      <w:r w:rsidRPr="0038444F">
        <w:rPr>
          <w:lang w:val="fr-FR"/>
        </w:rPr>
        <w:t xml:space="preserve"> « Les livres 41-42 des </w:t>
      </w:r>
      <w:r w:rsidRPr="0038444F">
        <w:rPr>
          <w:i/>
          <w:lang w:val="fr-FR"/>
        </w:rPr>
        <w:t>Histoires Philippiques</w:t>
      </w:r>
      <w:r w:rsidRPr="0038444F">
        <w:rPr>
          <w:lang w:val="fr-FR"/>
        </w:rPr>
        <w:t xml:space="preserve"> de Trogue-Pompée résumées par Justin », </w:t>
      </w:r>
      <w:r w:rsidRPr="0038444F">
        <w:rPr>
          <w:i/>
          <w:lang w:val="fr-FR"/>
        </w:rPr>
        <w:t>Iranica Antiqua</w:t>
      </w:r>
      <w:r w:rsidRPr="0038444F">
        <w:rPr>
          <w:lang w:val="fr-FR"/>
        </w:rPr>
        <w:t xml:space="preserve"> 44, 2009, p. 361-392.</w:t>
      </w: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</w:p>
    <w:p w:rsidR="0048726C" w:rsidRDefault="0048726C" w:rsidP="0048726C">
      <w:pPr>
        <w:pStyle w:val="Paragraphedeliste"/>
        <w:ind w:left="357"/>
        <w:jc w:val="both"/>
        <w:rPr>
          <w:lang w:val="fr-FR"/>
        </w:rPr>
      </w:pPr>
      <w:r w:rsidRPr="0038444F">
        <w:rPr>
          <w:b/>
          <w:lang w:val="fr-FR"/>
        </w:rPr>
        <w:t xml:space="preserve"> [6]</w:t>
      </w:r>
      <w:r w:rsidRPr="0038444F">
        <w:rPr>
          <w:lang w:val="fr-FR"/>
        </w:rPr>
        <w:t xml:space="preserve"> « Entre légende monétaire et légende noire : de nouveau sur </w:t>
      </w:r>
      <w:r w:rsidRPr="0038444F">
        <w:rPr>
          <w:i/>
          <w:smallCaps/>
          <w:lang w:val="fr-FR"/>
        </w:rPr>
        <w:t>Q. Labienus Parthicus Imperator</w:t>
      </w:r>
      <w:r w:rsidRPr="0038444F">
        <w:rPr>
          <w:lang w:val="fr-FR"/>
        </w:rPr>
        <w:t xml:space="preserve"> », </w:t>
      </w:r>
      <w:r w:rsidRPr="0038444F">
        <w:rPr>
          <w:i/>
          <w:lang w:val="fr-FR"/>
        </w:rPr>
        <w:t>Historia</w:t>
      </w:r>
      <w:r w:rsidRPr="0038444F">
        <w:rPr>
          <w:lang w:val="fr-FR"/>
        </w:rPr>
        <w:t xml:space="preserve"> 59/2, 2010, p. 176-188.</w:t>
      </w: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  <w:r w:rsidRPr="0038444F">
        <w:rPr>
          <w:b/>
          <w:lang w:val="fr-FR"/>
        </w:rPr>
        <w:t xml:space="preserve"> [7]</w:t>
      </w:r>
      <w:r w:rsidRPr="0038444F">
        <w:rPr>
          <w:lang w:val="fr-FR"/>
        </w:rPr>
        <w:t xml:space="preserve"> « La référence aux « Sept » dans les royaumes gréco-iraniens de l’époque hellénistique : la survivance d’un usage achéménide ? », </w:t>
      </w:r>
      <w:r w:rsidRPr="0038444F">
        <w:rPr>
          <w:i/>
          <w:lang w:val="fr-FR"/>
        </w:rPr>
        <w:t>Ktèma</w:t>
      </w:r>
      <w:r w:rsidRPr="0038444F">
        <w:rPr>
          <w:lang w:val="fr-FR"/>
        </w:rPr>
        <w:t xml:space="preserve"> 38, 2013, p. 107-114.</w:t>
      </w:r>
    </w:p>
    <w:p w:rsidR="00C955AA" w:rsidRDefault="00C955AA" w:rsidP="0048726C">
      <w:pPr>
        <w:pStyle w:val="Paragraphedeliste"/>
        <w:ind w:left="0"/>
        <w:jc w:val="both"/>
        <w:rPr>
          <w:b/>
          <w:smallCaps/>
          <w:lang w:val="fr-FR"/>
        </w:rPr>
      </w:pPr>
    </w:p>
    <w:p w:rsidR="0048726C" w:rsidRPr="00C955AA" w:rsidRDefault="0048726C" w:rsidP="00C955AA">
      <w:pPr>
        <w:jc w:val="both"/>
        <w:rPr>
          <w:b/>
          <w:smallCaps/>
        </w:rPr>
      </w:pPr>
      <w:r w:rsidRPr="0038444F">
        <w:rPr>
          <w:b/>
          <w:smallCaps/>
        </w:rPr>
        <w:t xml:space="preserve">Contributions </w:t>
      </w:r>
      <w:r>
        <w:rPr>
          <w:b/>
          <w:smallCaps/>
        </w:rPr>
        <w:t xml:space="preserve"> </w:t>
      </w:r>
      <w:r w:rsidRPr="0038444F">
        <w:rPr>
          <w:b/>
          <w:smallCaps/>
        </w:rPr>
        <w:t xml:space="preserve">a </w:t>
      </w:r>
      <w:r>
        <w:rPr>
          <w:b/>
          <w:smallCaps/>
        </w:rPr>
        <w:t xml:space="preserve"> des ouvrages collectifs</w:t>
      </w:r>
    </w:p>
    <w:p w:rsidR="0048726C" w:rsidRDefault="0048726C" w:rsidP="0048726C">
      <w:pPr>
        <w:pStyle w:val="Paragraphedeliste"/>
        <w:ind w:left="357"/>
        <w:jc w:val="both"/>
        <w:rPr>
          <w:lang w:val="fr-FR"/>
        </w:rPr>
      </w:pPr>
      <w:r w:rsidRPr="0038444F">
        <w:rPr>
          <w:b/>
          <w:lang w:val="fr-FR"/>
        </w:rPr>
        <w:t>[8]</w:t>
      </w:r>
      <w:r w:rsidRPr="0038444F">
        <w:rPr>
          <w:lang w:val="fr-FR"/>
        </w:rPr>
        <w:t xml:space="preserve"> « Arrien », « Dion Cassius », « Pausanias », « Herennius Dexippe », « Timagène d'Alexandrie », </w:t>
      </w:r>
      <w:r w:rsidRPr="0038444F">
        <w:rPr>
          <w:iCs/>
          <w:lang w:val="fr-FR"/>
        </w:rPr>
        <w:t xml:space="preserve">dans J. </w:t>
      </w:r>
      <w:r w:rsidRPr="0038444F">
        <w:rPr>
          <w:lang w:val="fr-FR"/>
        </w:rPr>
        <w:t xml:space="preserve">Leclant éd., </w:t>
      </w:r>
      <w:r w:rsidRPr="0038444F">
        <w:rPr>
          <w:i/>
          <w:iCs/>
          <w:lang w:val="fr-FR"/>
        </w:rPr>
        <w:t>Dictionnaire de l'Antiquité</w:t>
      </w:r>
      <w:r w:rsidRPr="0038444F">
        <w:rPr>
          <w:lang w:val="fr-FR"/>
        </w:rPr>
        <w:t>, PUF, Paris, 2005, p. 234-235, p. 689-690, p. 1670, p. 1048, p. 2197-2198.</w:t>
      </w: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  <w:r w:rsidRPr="0038444F">
        <w:rPr>
          <w:b/>
          <w:lang w:val="fr-FR"/>
        </w:rPr>
        <w:t>[9]</w:t>
      </w:r>
      <w:r w:rsidRPr="0038444F">
        <w:rPr>
          <w:lang w:val="fr-FR"/>
        </w:rPr>
        <w:t xml:space="preserve"> « Du monde hellénistique au monde romain : la transmission du souvenir de l’expédition parthique de Démétrios II (140/139) », dans B. Bortolussi, M. Keller, S. Minon et L. Sznajder éds, </w:t>
      </w:r>
      <w:r w:rsidRPr="0038444F">
        <w:rPr>
          <w:i/>
          <w:lang w:val="fr-FR"/>
        </w:rPr>
        <w:t xml:space="preserve">Traduire, transposer, transmettre dans l’Antiquité gréco-romaine, </w:t>
      </w:r>
      <w:r w:rsidRPr="0038444F">
        <w:rPr>
          <w:lang w:val="fr-FR"/>
        </w:rPr>
        <w:t>Paris, Picard, 2009, p. 159-165.</w:t>
      </w:r>
    </w:p>
    <w:p w:rsidR="0048726C" w:rsidRPr="0056238C" w:rsidRDefault="0048726C" w:rsidP="0048726C">
      <w:pPr>
        <w:pStyle w:val="Titre1"/>
        <w:ind w:left="357"/>
        <w:jc w:val="both"/>
        <w:rPr>
          <w:rFonts w:ascii="Times New Roman" w:hAnsi="Times New Roman" w:cs="Times New Roman"/>
          <w:b w:val="0"/>
          <w:iCs/>
          <w:sz w:val="24"/>
          <w:szCs w:val="24"/>
          <w:lang w:val="fr-FR"/>
        </w:rPr>
      </w:pPr>
      <w:r w:rsidRPr="0056238C">
        <w:rPr>
          <w:rFonts w:ascii="Times New Roman" w:hAnsi="Times New Roman" w:cs="Times New Roman"/>
          <w:sz w:val="24"/>
          <w:szCs w:val="24"/>
          <w:lang w:val="fr-FR"/>
        </w:rPr>
        <w:lastRenderedPageBreak/>
        <w:t>[10]</w:t>
      </w:r>
      <w:r w:rsidRPr="0056238C">
        <w:rPr>
          <w:b w:val="0"/>
          <w:sz w:val="24"/>
          <w:szCs w:val="24"/>
          <w:lang w:val="fr-FR"/>
        </w:rPr>
        <w:t xml:space="preserve"> </w:t>
      </w:r>
      <w:r w:rsidRPr="0056238C">
        <w:rPr>
          <w:rFonts w:ascii="Times New Roman" w:hAnsi="Times New Roman" w:cs="Times New Roman"/>
          <w:b w:val="0"/>
          <w:sz w:val="24"/>
          <w:szCs w:val="24"/>
          <w:lang w:val="fr-FR"/>
        </w:rPr>
        <w:t xml:space="preserve">« L’image des Parthes à l’époque d’Auguste : tentative de confrontation des sources littéraires et iconographiques », dans M.-Fr. Marein, P. Voisin et J. Gallego éds, </w:t>
      </w:r>
      <w:r w:rsidRPr="0056238C">
        <w:rPr>
          <w:rFonts w:ascii="Times New Roman" w:hAnsi="Times New Roman" w:cs="Times New Roman"/>
          <w:b w:val="0"/>
          <w:i/>
          <w:iCs/>
          <w:sz w:val="24"/>
          <w:szCs w:val="24"/>
          <w:lang w:val="fr-FR"/>
        </w:rPr>
        <w:t>Figures de l'étranger autour de la Méditerranée antique. A la rencontre de l'Autre</w:t>
      </w:r>
      <w:r w:rsidRPr="0056238C">
        <w:rPr>
          <w:rFonts w:ascii="Times New Roman" w:hAnsi="Times New Roman" w:cs="Times New Roman"/>
          <w:b w:val="0"/>
          <w:iCs/>
          <w:sz w:val="24"/>
          <w:szCs w:val="24"/>
          <w:lang w:val="fr-FR"/>
        </w:rPr>
        <w:t>, Paris, L’Harmattan, 2010, p. 295-303.</w:t>
      </w:r>
    </w:p>
    <w:p w:rsidR="0048726C" w:rsidRPr="00B63827" w:rsidRDefault="0048726C" w:rsidP="0048726C">
      <w:pPr>
        <w:ind w:left="357"/>
      </w:pPr>
    </w:p>
    <w:p w:rsidR="0048726C" w:rsidRDefault="0048726C" w:rsidP="0048726C">
      <w:pPr>
        <w:pStyle w:val="Paragraphedeliste"/>
        <w:ind w:left="357"/>
        <w:jc w:val="both"/>
        <w:rPr>
          <w:lang w:val="fr-FR"/>
        </w:rPr>
      </w:pPr>
      <w:r w:rsidRPr="0038444F">
        <w:rPr>
          <w:b/>
          <w:lang w:val="fr-FR"/>
        </w:rPr>
        <w:t>[11]</w:t>
      </w:r>
      <w:r w:rsidRPr="0038444F">
        <w:rPr>
          <w:lang w:val="fr-FR"/>
        </w:rPr>
        <w:t xml:space="preserve"> « Les Parthes sont-ils des nomades comme les autres ? », dans P. Rouillard éd.,  </w:t>
      </w:r>
      <w:r w:rsidRPr="0038444F">
        <w:rPr>
          <w:lang w:val="fr-FR"/>
        </w:rPr>
        <w:tab/>
      </w:r>
      <w:r w:rsidRPr="006D2A3E">
        <w:rPr>
          <w:i/>
          <w:lang w:val="fr-FR"/>
        </w:rPr>
        <w:t>Portraits</w:t>
      </w:r>
      <w:hyperlink r:id="rId4" w:history="1">
        <w:r w:rsidRPr="0048726C">
          <w:rPr>
            <w:lang w:val="fr-FR"/>
          </w:rPr>
          <w:t xml:space="preserve"> d</w:t>
        </w:r>
        <w:r w:rsidRPr="0048726C">
          <w:rPr>
            <w:i/>
            <w:lang w:val="fr-FR"/>
          </w:rPr>
          <w:t>e migra</w:t>
        </w:r>
      </w:hyperlink>
      <w:r w:rsidRPr="006D2A3E">
        <w:rPr>
          <w:i/>
          <w:lang w:val="fr-FR"/>
        </w:rPr>
        <w:t>nts</w:t>
      </w:r>
      <w:r w:rsidRPr="0038444F">
        <w:rPr>
          <w:i/>
          <w:lang w:val="fr-FR"/>
        </w:rPr>
        <w:t xml:space="preserve">, portraits de colons </w:t>
      </w:r>
      <w:r w:rsidRPr="0038444F">
        <w:rPr>
          <w:lang w:val="fr-FR"/>
        </w:rPr>
        <w:t xml:space="preserve">II, Paris, Picard, 2010, p. 159-166 </w:t>
      </w: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  <w:r w:rsidRPr="0038444F">
        <w:rPr>
          <w:b/>
          <w:lang w:val="fr-FR"/>
        </w:rPr>
        <w:t>[12]</w:t>
      </w:r>
      <w:r w:rsidRPr="0038444F">
        <w:rPr>
          <w:lang w:val="fr-FR"/>
        </w:rPr>
        <w:t xml:space="preserve"> « Présence du monde barbare chez Pausanias », dans</w:t>
      </w:r>
      <w:r w:rsidRPr="0038444F">
        <w:rPr>
          <w:i/>
          <w:lang w:val="fr-FR"/>
        </w:rPr>
        <w:t xml:space="preserve"> </w:t>
      </w:r>
      <w:r w:rsidRPr="0038444F">
        <w:rPr>
          <w:lang w:val="fr-FR"/>
        </w:rPr>
        <w:t xml:space="preserve">P. Carlier et Ch. Lerouge-Cohen éds, </w:t>
      </w:r>
      <w:r w:rsidRPr="0038444F">
        <w:rPr>
          <w:i/>
          <w:lang w:val="fr-FR"/>
        </w:rPr>
        <w:t>Paysage et religion en Grèce antique.</w:t>
      </w:r>
      <w:r w:rsidRPr="0038444F">
        <w:rPr>
          <w:lang w:val="fr-FR"/>
        </w:rPr>
        <w:t xml:space="preserve"> </w:t>
      </w:r>
      <w:r w:rsidRPr="0038444F">
        <w:rPr>
          <w:i/>
          <w:lang w:val="fr-FR"/>
        </w:rPr>
        <w:t>Mélanges en l’honneur de Madeleine Jost</w:t>
      </w:r>
      <w:r w:rsidRPr="0038444F">
        <w:rPr>
          <w:lang w:val="fr-FR"/>
        </w:rPr>
        <w:t>, Paris, Picard, 2010, p. 221-230.</w:t>
      </w: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  <w:r w:rsidRPr="0038444F">
        <w:rPr>
          <w:b/>
          <w:lang w:val="fr-FR"/>
        </w:rPr>
        <w:t xml:space="preserve">[13] </w:t>
      </w:r>
      <w:r w:rsidRPr="0038444F">
        <w:rPr>
          <w:lang w:val="fr-FR"/>
        </w:rPr>
        <w:t xml:space="preserve">« Comment se construit une image des Parthes à Rome », dans M. Simon éd., </w:t>
      </w:r>
      <w:r w:rsidRPr="0038444F">
        <w:rPr>
          <w:i/>
          <w:lang w:val="fr-FR"/>
        </w:rPr>
        <w:t>Identités romaines. Conscience de soi et représentations de l’autre dans la Rome antique (IVè siècle av. J-C.-VIIIè s. apr. J.-C.)</w:t>
      </w:r>
      <w:r w:rsidRPr="0038444F">
        <w:rPr>
          <w:lang w:val="fr-FR"/>
        </w:rPr>
        <w:t>, Paris, Editions Rue d’Ulm, 2011.</w:t>
      </w: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  <w:r w:rsidRPr="0038444F">
        <w:rPr>
          <w:b/>
          <w:lang w:val="fr-FR"/>
        </w:rPr>
        <w:t>[14]</w:t>
      </w:r>
      <w:r w:rsidRPr="0038444F">
        <w:rPr>
          <w:lang w:val="fr-FR"/>
        </w:rPr>
        <w:t xml:space="preserve"> « Les banquets des Arsacides », dans Ch. Hugoniot, C. Grandjean et B. Lion éds,</w:t>
      </w:r>
      <w:r w:rsidRPr="0038444F">
        <w:rPr>
          <w:i/>
          <w:lang w:val="fr-FR"/>
        </w:rPr>
        <w:t xml:space="preserve"> Le banquet du monarque dans le monde antique</w:t>
      </w:r>
      <w:r w:rsidRPr="0038444F">
        <w:rPr>
          <w:lang w:val="fr-FR"/>
        </w:rPr>
        <w:t>, Rennes-Tours, PUR-PUFR, 2013,</w:t>
      </w:r>
      <w:r w:rsidRPr="0038444F">
        <w:rPr>
          <w:color w:val="FF0000"/>
          <w:lang w:val="fr-FR"/>
        </w:rPr>
        <w:t xml:space="preserve"> </w:t>
      </w:r>
      <w:r w:rsidRPr="0038444F">
        <w:rPr>
          <w:lang w:val="fr-FR"/>
        </w:rPr>
        <w:t>p. 199-211.</w:t>
      </w: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</w:p>
    <w:p w:rsidR="0048726C" w:rsidRDefault="0048726C" w:rsidP="0048726C">
      <w:pPr>
        <w:pStyle w:val="Paragraphedeliste"/>
        <w:ind w:left="357"/>
        <w:jc w:val="both"/>
        <w:rPr>
          <w:lang w:val="fr-FR"/>
        </w:rPr>
      </w:pPr>
      <w:r w:rsidRPr="0038444F">
        <w:rPr>
          <w:b/>
          <w:lang w:val="fr-FR"/>
        </w:rPr>
        <w:t>[15]</w:t>
      </w:r>
      <w:r w:rsidRPr="0038444F">
        <w:rPr>
          <w:lang w:val="fr-FR"/>
        </w:rPr>
        <w:t xml:space="preserve"> « Alexandre, Rome et les Parthes dans les </w:t>
      </w:r>
      <w:r w:rsidRPr="0038444F">
        <w:rPr>
          <w:i/>
          <w:lang w:val="fr-FR"/>
        </w:rPr>
        <w:t>Histoires d’Alexandre</w:t>
      </w:r>
      <w:r w:rsidRPr="0038444F">
        <w:rPr>
          <w:lang w:val="fr-FR"/>
        </w:rPr>
        <w:t xml:space="preserve"> </w:t>
      </w:r>
      <w:r>
        <w:rPr>
          <w:lang w:val="fr-FR"/>
        </w:rPr>
        <w:t>de Quinte Curce », dans M. Simon et J.</w:t>
      </w:r>
      <w:r w:rsidRPr="0038444F">
        <w:rPr>
          <w:lang w:val="fr-FR"/>
        </w:rPr>
        <w:t xml:space="preserve"> Trinquier (éd.), </w:t>
      </w:r>
      <w:r w:rsidRPr="0038444F">
        <w:rPr>
          <w:i/>
          <w:lang w:val="fr-FR"/>
        </w:rPr>
        <w:t xml:space="preserve">Les </w:t>
      </w:r>
      <w:r w:rsidRPr="0038444F">
        <w:rPr>
          <w:lang w:val="fr-FR"/>
        </w:rPr>
        <w:t>Historiae Alexandri Magni</w:t>
      </w:r>
      <w:r w:rsidRPr="0038444F">
        <w:rPr>
          <w:i/>
          <w:lang w:val="fr-FR"/>
        </w:rPr>
        <w:t xml:space="preserve"> de Quinte Curce</w:t>
      </w:r>
      <w:r w:rsidRPr="0038444F">
        <w:rPr>
          <w:lang w:val="fr-FR"/>
        </w:rPr>
        <w:t xml:space="preserve">, Paris, </w:t>
      </w:r>
      <w:r>
        <w:rPr>
          <w:lang w:val="fr-FR"/>
        </w:rPr>
        <w:t xml:space="preserve">Armand Colin, </w:t>
      </w:r>
      <w:r w:rsidRPr="0038444F">
        <w:rPr>
          <w:lang w:val="fr-FR"/>
        </w:rPr>
        <w:t>2014, p. 203-214.</w:t>
      </w:r>
    </w:p>
    <w:p w:rsidR="0048726C" w:rsidRDefault="0048726C" w:rsidP="0048726C">
      <w:pPr>
        <w:pStyle w:val="Paragraphedeliste"/>
        <w:ind w:left="357"/>
        <w:jc w:val="both"/>
        <w:rPr>
          <w:lang w:val="fr-FR"/>
        </w:rPr>
      </w:pPr>
    </w:p>
    <w:p w:rsidR="0048726C" w:rsidRPr="00902A48" w:rsidRDefault="0048726C" w:rsidP="0048726C">
      <w:pPr>
        <w:pStyle w:val="Paragraphedeliste"/>
        <w:ind w:left="357"/>
        <w:jc w:val="both"/>
        <w:rPr>
          <w:lang w:val="fr-FR"/>
        </w:rPr>
      </w:pPr>
      <w:r w:rsidRPr="0038444F">
        <w:rPr>
          <w:b/>
          <w:lang w:val="fr-FR"/>
        </w:rPr>
        <w:t>[16]</w:t>
      </w:r>
      <w:r w:rsidRPr="0038444F">
        <w:rPr>
          <w:lang w:val="fr-FR"/>
        </w:rPr>
        <w:t xml:space="preserve"> « Les Amis des Arsacides : pistes de réflexion », dans Ch. Lerouge-Cohen éd., </w:t>
      </w:r>
      <w:r w:rsidRPr="0038444F">
        <w:rPr>
          <w:i/>
          <w:lang w:val="fr-FR"/>
        </w:rPr>
        <w:t>Les Arsacides héritiers des Séleucides ? Réflexions sur les pratiques de pouvoir dans le royaume arsacide. Actes de la journée d’études organisée</w:t>
      </w:r>
      <w:r>
        <w:rPr>
          <w:i/>
          <w:lang w:val="fr-FR"/>
        </w:rPr>
        <w:t xml:space="preserve"> à Nanterre le 22 novembre 2013</w:t>
      </w:r>
      <w:r w:rsidRPr="0013044E">
        <w:rPr>
          <w:lang w:val="fr-FR"/>
        </w:rPr>
        <w:t xml:space="preserve">, </w:t>
      </w:r>
      <w:r w:rsidRPr="0056238C">
        <w:rPr>
          <w:lang w:val="fr-FR"/>
        </w:rPr>
        <w:t>p. 127-145</w:t>
      </w:r>
      <w:r>
        <w:rPr>
          <w:lang w:val="fr-FR"/>
        </w:rPr>
        <w:t>.</w:t>
      </w:r>
    </w:p>
    <w:p w:rsidR="0048726C" w:rsidRPr="0038444F" w:rsidRDefault="0048726C" w:rsidP="0048726C">
      <w:pPr>
        <w:pStyle w:val="Paragraphedeliste"/>
        <w:ind w:left="357"/>
        <w:jc w:val="both"/>
        <w:rPr>
          <w:lang w:val="fr-FR"/>
        </w:rPr>
      </w:pPr>
    </w:p>
    <w:p w:rsidR="0048726C" w:rsidRPr="0048726C" w:rsidRDefault="0048726C" w:rsidP="0048726C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48726C">
        <w:rPr>
          <w:rFonts w:ascii="Times New Roman" w:hAnsi="Times New Roman" w:cs="Times New Roman"/>
          <w:b/>
          <w:smallCaps/>
          <w:sz w:val="24"/>
          <w:szCs w:val="24"/>
        </w:rPr>
        <w:t>Comptes-rendus</w:t>
      </w:r>
    </w:p>
    <w:p w:rsidR="0048726C" w:rsidRPr="0048726C" w:rsidRDefault="0048726C" w:rsidP="0048726C">
      <w:pPr>
        <w:jc w:val="both"/>
        <w:rPr>
          <w:b/>
          <w:smallCaps/>
          <w:sz w:val="24"/>
          <w:szCs w:val="24"/>
          <w:lang w:val="it-IT"/>
        </w:rPr>
      </w:pPr>
      <w:r>
        <w:rPr>
          <w:b/>
          <w:smallCaps/>
        </w:rPr>
        <w:tab/>
      </w:r>
      <w:r w:rsidRPr="0048726C">
        <w:rPr>
          <w:rFonts w:ascii="Times New Roman" w:hAnsi="Times New Roman" w:cs="Times New Roman"/>
          <w:sz w:val="24"/>
          <w:szCs w:val="24"/>
        </w:rPr>
        <w:t xml:space="preserve">-Federico Borca, </w:t>
      </w:r>
      <w:r w:rsidRPr="0048726C">
        <w:rPr>
          <w:rFonts w:ascii="Times New Roman" w:hAnsi="Times New Roman" w:cs="Times New Roman"/>
          <w:i/>
          <w:sz w:val="24"/>
          <w:szCs w:val="24"/>
        </w:rPr>
        <w:t xml:space="preserve">Luoghi, Corpi, Costumi. </w:t>
      </w:r>
      <w:r w:rsidRPr="0048726C">
        <w:rPr>
          <w:rFonts w:ascii="Times New Roman" w:hAnsi="Times New Roman" w:cs="Times New Roman"/>
          <w:i/>
          <w:sz w:val="24"/>
          <w:szCs w:val="24"/>
          <w:lang w:val="it-IT"/>
        </w:rPr>
        <w:t>Determinismo ambientale ed etnografia antica</w:t>
      </w:r>
      <w:r w:rsidRPr="0048726C">
        <w:rPr>
          <w:rFonts w:ascii="Times New Roman" w:hAnsi="Times New Roman" w:cs="Times New Roman"/>
          <w:sz w:val="24"/>
          <w:szCs w:val="24"/>
          <w:lang w:val="it-IT"/>
        </w:rPr>
        <w:t xml:space="preserve">, Roma, 2003, pour la </w:t>
      </w:r>
      <w:r w:rsidRPr="0048726C">
        <w:rPr>
          <w:rFonts w:ascii="Times New Roman" w:hAnsi="Times New Roman" w:cs="Times New Roman"/>
          <w:i/>
          <w:iCs/>
          <w:sz w:val="24"/>
          <w:szCs w:val="24"/>
          <w:lang w:val="it-IT"/>
        </w:rPr>
        <w:t>Bryn Mawr Classical Review</w:t>
      </w:r>
      <w:r w:rsidRPr="0048726C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(CR en anglais).</w:t>
      </w:r>
    </w:p>
    <w:p w:rsidR="0048726C" w:rsidRPr="0048726C" w:rsidRDefault="0048726C" w:rsidP="0048726C">
      <w:pPr>
        <w:ind w:firstLine="567"/>
        <w:jc w:val="both"/>
        <w:rPr>
          <w:b/>
          <w:smallCaps/>
          <w:sz w:val="24"/>
          <w:szCs w:val="24"/>
        </w:rPr>
      </w:pPr>
      <w:r w:rsidRPr="0048726C">
        <w:rPr>
          <w:rFonts w:ascii="Times New Roman" w:hAnsi="Times New Roman" w:cs="Times New Roman"/>
          <w:sz w:val="24"/>
          <w:szCs w:val="24"/>
          <w:lang w:val="it-IT"/>
        </w:rPr>
        <w:t xml:space="preserve">- F. Feraco, </w:t>
      </w:r>
      <w:r w:rsidRPr="0048726C">
        <w:rPr>
          <w:rFonts w:ascii="Times New Roman" w:hAnsi="Times New Roman" w:cs="Times New Roman"/>
          <w:i/>
          <w:sz w:val="24"/>
          <w:szCs w:val="24"/>
          <w:lang w:val="it-IT"/>
        </w:rPr>
        <w:t>Ammiano Geografo. La digressione sulla Persia</w:t>
      </w:r>
      <w:r w:rsidRPr="0048726C">
        <w:rPr>
          <w:rFonts w:ascii="Times New Roman" w:hAnsi="Times New Roman" w:cs="Times New Roman"/>
          <w:sz w:val="24"/>
          <w:szCs w:val="24"/>
          <w:lang w:val="it-IT"/>
        </w:rPr>
        <w:t xml:space="preserve">, Naples, 2004, dans la </w:t>
      </w:r>
      <w:r w:rsidRPr="0048726C">
        <w:rPr>
          <w:rFonts w:ascii="Times New Roman" w:hAnsi="Times New Roman" w:cs="Times New Roman"/>
          <w:i/>
          <w:iCs/>
          <w:sz w:val="24"/>
          <w:szCs w:val="24"/>
          <w:lang w:val="it-IT"/>
        </w:rPr>
        <w:t>Revue de Philologie</w:t>
      </w:r>
      <w:r w:rsidRPr="0048726C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78/2,</w:t>
      </w:r>
      <w:r w:rsidRPr="0048726C">
        <w:rPr>
          <w:rFonts w:ascii="Times New Roman" w:hAnsi="Times New Roman" w:cs="Times New Roman"/>
          <w:sz w:val="24"/>
          <w:szCs w:val="24"/>
          <w:lang w:val="it-IT"/>
        </w:rPr>
        <w:t xml:space="preserve"> 2004, p. 394-395.</w:t>
      </w:r>
    </w:p>
    <w:p w:rsidR="0048726C" w:rsidRPr="0048726C" w:rsidRDefault="0048726C" w:rsidP="0048726C">
      <w:pPr>
        <w:ind w:firstLine="567"/>
        <w:rPr>
          <w:rFonts w:ascii="Times New Roman" w:hAnsi="Times New Roman" w:cs="Times New Roman"/>
          <w:sz w:val="24"/>
          <w:szCs w:val="24"/>
          <w:lang w:val="it-IT"/>
        </w:rPr>
      </w:pPr>
      <w:r w:rsidRPr="0048726C">
        <w:rPr>
          <w:rFonts w:ascii="Times New Roman" w:hAnsi="Times New Roman" w:cs="Times New Roman"/>
          <w:sz w:val="24"/>
          <w:szCs w:val="24"/>
          <w:lang w:val="it-IT"/>
        </w:rPr>
        <w:t xml:space="preserve">-Rh. Merkelbach, </w:t>
      </w:r>
      <w:r w:rsidRPr="0048726C">
        <w:rPr>
          <w:rFonts w:ascii="Times New Roman" w:hAnsi="Times New Roman" w:cs="Times New Roman"/>
          <w:i/>
          <w:sz w:val="24"/>
          <w:szCs w:val="24"/>
          <w:lang w:val="it-IT"/>
        </w:rPr>
        <w:t>Mithras. Ein persisch-römischer Mysterienkult</w:t>
      </w:r>
      <w:r w:rsidRPr="0048726C">
        <w:rPr>
          <w:rFonts w:ascii="Times New Roman" w:hAnsi="Times New Roman" w:cs="Times New Roman"/>
          <w:sz w:val="24"/>
          <w:szCs w:val="24"/>
          <w:lang w:val="it-IT"/>
        </w:rPr>
        <w:t xml:space="preserve">, Francfort, 1994 (2è édition) dans la </w:t>
      </w:r>
      <w:r w:rsidRPr="0048726C">
        <w:rPr>
          <w:rFonts w:ascii="Times New Roman" w:hAnsi="Times New Roman" w:cs="Times New Roman"/>
          <w:i/>
          <w:iCs/>
          <w:sz w:val="24"/>
          <w:szCs w:val="24"/>
          <w:lang w:val="it-IT"/>
        </w:rPr>
        <w:t>Revue de Philologie</w:t>
      </w:r>
      <w:r w:rsidRPr="0048726C">
        <w:rPr>
          <w:rFonts w:ascii="Times New Roman" w:hAnsi="Times New Roman" w:cs="Times New Roman"/>
          <w:sz w:val="24"/>
          <w:szCs w:val="24"/>
          <w:lang w:val="it-IT"/>
        </w:rPr>
        <w:t xml:space="preserve"> 79/1, 2005, p. 394-395.</w:t>
      </w:r>
    </w:p>
    <w:p w:rsidR="0048726C" w:rsidRPr="0048726C" w:rsidRDefault="0048726C" w:rsidP="0048726C">
      <w:pPr>
        <w:ind w:firstLine="567"/>
        <w:rPr>
          <w:sz w:val="24"/>
          <w:szCs w:val="24"/>
        </w:rPr>
      </w:pPr>
      <w:r w:rsidRPr="0048726C">
        <w:rPr>
          <w:rFonts w:ascii="Times New Roman" w:hAnsi="Times New Roman" w:cs="Times New Roman"/>
          <w:sz w:val="24"/>
          <w:szCs w:val="24"/>
        </w:rPr>
        <w:t xml:space="preserve">-P. Schmitt-Pantel, </w:t>
      </w:r>
      <w:r w:rsidRPr="0048726C">
        <w:rPr>
          <w:rFonts w:ascii="Times New Roman" w:hAnsi="Times New Roman" w:cs="Times New Roman"/>
          <w:i/>
          <w:sz w:val="24"/>
          <w:szCs w:val="24"/>
        </w:rPr>
        <w:t>Hommes illustres. Mœurs et politique à Athènes au Vè siècle</w:t>
      </w:r>
      <w:r w:rsidRPr="0048726C">
        <w:rPr>
          <w:rFonts w:ascii="Times New Roman" w:hAnsi="Times New Roman" w:cs="Times New Roman"/>
          <w:sz w:val="24"/>
          <w:szCs w:val="24"/>
        </w:rPr>
        <w:t xml:space="preserve">, Paris, 2009, sur le site </w:t>
      </w:r>
      <w:r w:rsidRPr="0048726C">
        <w:rPr>
          <w:rFonts w:ascii="Times New Roman" w:hAnsi="Times New Roman" w:cs="Times New Roman"/>
          <w:i/>
          <w:sz w:val="24"/>
          <w:szCs w:val="24"/>
        </w:rPr>
        <w:t>La vie des idées</w:t>
      </w:r>
      <w:r w:rsidRPr="0048726C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48726C">
          <w:rPr>
            <w:rStyle w:val="Lienhypertexte"/>
            <w:rFonts w:ascii="Times New Roman" w:hAnsi="Times New Roman"/>
            <w:sz w:val="24"/>
            <w:szCs w:val="24"/>
          </w:rPr>
          <w:t>http://www.laviedesidees.fr/Une-petite-histoire-pour-de-grands.html</w:t>
        </w:r>
      </w:hyperlink>
      <w:r w:rsidRPr="0048726C">
        <w:rPr>
          <w:rFonts w:ascii="Times New Roman" w:hAnsi="Times New Roman" w:cs="Times New Roman"/>
          <w:sz w:val="24"/>
          <w:szCs w:val="24"/>
        </w:rPr>
        <w:t>).</w:t>
      </w:r>
    </w:p>
    <w:p w:rsidR="0048726C" w:rsidRPr="0048726C" w:rsidRDefault="0048726C" w:rsidP="0048726C">
      <w:pPr>
        <w:ind w:firstLine="567"/>
        <w:rPr>
          <w:sz w:val="24"/>
          <w:szCs w:val="24"/>
          <w:lang w:val="de-DE"/>
        </w:rPr>
      </w:pPr>
      <w:r w:rsidRPr="0048726C">
        <w:rPr>
          <w:rFonts w:ascii="Times New Roman" w:hAnsi="Times New Roman" w:cs="Times New Roman"/>
          <w:b/>
          <w:sz w:val="24"/>
          <w:szCs w:val="24"/>
        </w:rPr>
        <w:t>-</w:t>
      </w:r>
      <w:r w:rsidRPr="0048726C">
        <w:rPr>
          <w:rFonts w:ascii="Times New Roman" w:hAnsi="Times New Roman" w:cs="Times New Roman"/>
          <w:sz w:val="24"/>
          <w:szCs w:val="24"/>
        </w:rPr>
        <w:t xml:space="preserve">U. Riemer et P. Riemer (éd.), </w:t>
      </w:r>
      <w:r w:rsidRPr="0048726C">
        <w:rPr>
          <w:rFonts w:ascii="Times New Roman" w:hAnsi="Times New Roman" w:cs="Times New Roman"/>
          <w:i/>
          <w:sz w:val="24"/>
          <w:szCs w:val="24"/>
        </w:rPr>
        <w:t xml:space="preserve">Xenophobie-Philoxenie. </w:t>
      </w:r>
      <w:r w:rsidRPr="0048726C">
        <w:rPr>
          <w:rFonts w:ascii="Times New Roman" w:hAnsi="Times New Roman" w:cs="Times New Roman"/>
          <w:i/>
          <w:sz w:val="24"/>
          <w:szCs w:val="24"/>
          <w:lang w:val="de-DE"/>
        </w:rPr>
        <w:t>Vom Umgang mit Fremden in der Antike</w:t>
      </w:r>
      <w:r w:rsidRPr="0048726C">
        <w:rPr>
          <w:rFonts w:ascii="Times New Roman" w:hAnsi="Times New Roman" w:cs="Times New Roman"/>
          <w:sz w:val="24"/>
          <w:szCs w:val="24"/>
          <w:lang w:val="de-DE"/>
        </w:rPr>
        <w:t xml:space="preserve">, Stuttgart, 2005, </w:t>
      </w:r>
      <w:r w:rsidRPr="0048726C">
        <w:rPr>
          <w:rFonts w:ascii="Times New Roman" w:hAnsi="Times New Roman" w:cs="Times New Roman"/>
          <w:sz w:val="24"/>
          <w:szCs w:val="24"/>
        </w:rPr>
        <w:t xml:space="preserve">dans la </w:t>
      </w:r>
      <w:r w:rsidRPr="0048726C">
        <w:rPr>
          <w:rFonts w:ascii="Times New Roman" w:hAnsi="Times New Roman" w:cs="Times New Roman"/>
          <w:i/>
          <w:sz w:val="24"/>
          <w:szCs w:val="24"/>
          <w:lang w:val="de-DE"/>
        </w:rPr>
        <w:t>Revue de Philologie</w:t>
      </w:r>
      <w:r w:rsidRPr="0048726C">
        <w:rPr>
          <w:rFonts w:ascii="Times New Roman" w:hAnsi="Times New Roman" w:cs="Times New Roman"/>
          <w:sz w:val="24"/>
          <w:szCs w:val="24"/>
          <w:lang w:val="de-DE"/>
        </w:rPr>
        <w:t xml:space="preserve"> 82/2, 2008.</w:t>
      </w:r>
    </w:p>
    <w:p w:rsidR="0048726C" w:rsidRPr="00C955AA" w:rsidRDefault="0048726C" w:rsidP="0048726C">
      <w:pPr>
        <w:ind w:firstLine="567"/>
        <w:rPr>
          <w:sz w:val="24"/>
          <w:szCs w:val="24"/>
        </w:rPr>
      </w:pPr>
      <w:r w:rsidRPr="0048726C">
        <w:rPr>
          <w:rFonts w:ascii="Times New Roman" w:hAnsi="Times New Roman" w:cs="Times New Roman"/>
          <w:sz w:val="24"/>
          <w:szCs w:val="24"/>
          <w:lang w:val="de-DE"/>
        </w:rPr>
        <w:t xml:space="preserve">- Albrecht Dihle, </w:t>
      </w:r>
      <w:r w:rsidRPr="0048726C">
        <w:rPr>
          <w:rFonts w:ascii="Times New Roman" w:hAnsi="Times New Roman" w:cs="Times New Roman"/>
          <w:i/>
          <w:sz w:val="24"/>
          <w:szCs w:val="24"/>
          <w:lang w:val="de-DE"/>
        </w:rPr>
        <w:t xml:space="preserve">Hellas und der Orient. </w:t>
      </w:r>
      <w:r w:rsidRPr="00C955AA">
        <w:rPr>
          <w:rFonts w:ascii="Times New Roman" w:hAnsi="Times New Roman" w:cs="Times New Roman"/>
          <w:i/>
          <w:sz w:val="24"/>
          <w:szCs w:val="24"/>
        </w:rPr>
        <w:t>Phasen wechselseitiger Rezeption</w:t>
      </w:r>
      <w:r w:rsidRPr="00C955AA">
        <w:rPr>
          <w:rFonts w:ascii="Times New Roman" w:hAnsi="Times New Roman" w:cs="Times New Roman"/>
          <w:sz w:val="24"/>
          <w:szCs w:val="24"/>
        </w:rPr>
        <w:t xml:space="preserve">, Berlin-New York, 2009, dans la </w:t>
      </w:r>
      <w:r w:rsidRPr="00C955AA">
        <w:rPr>
          <w:rFonts w:ascii="Times New Roman" w:hAnsi="Times New Roman" w:cs="Times New Roman"/>
          <w:i/>
          <w:sz w:val="24"/>
          <w:szCs w:val="24"/>
        </w:rPr>
        <w:t>Revue de Philologie</w:t>
      </w:r>
      <w:r w:rsidRPr="00C955AA">
        <w:rPr>
          <w:rFonts w:ascii="Times New Roman" w:hAnsi="Times New Roman" w:cs="Times New Roman"/>
          <w:sz w:val="24"/>
          <w:szCs w:val="24"/>
        </w:rPr>
        <w:t xml:space="preserve"> 85/1.</w:t>
      </w:r>
    </w:p>
    <w:p w:rsidR="0048726C" w:rsidRPr="0048726C" w:rsidRDefault="0048726C" w:rsidP="0048726C">
      <w:pPr>
        <w:ind w:firstLine="567"/>
        <w:rPr>
          <w:sz w:val="24"/>
          <w:szCs w:val="24"/>
          <w:lang w:val="en-US"/>
        </w:rPr>
      </w:pPr>
      <w:proofErr w:type="gramStart"/>
      <w:r w:rsidRPr="0048726C">
        <w:rPr>
          <w:rFonts w:ascii="Times New Roman" w:hAnsi="Times New Roman" w:cs="Times New Roman"/>
          <w:sz w:val="24"/>
          <w:szCs w:val="24"/>
          <w:lang w:val="en-US"/>
        </w:rPr>
        <w:t xml:space="preserve">-R. Shayegan, </w:t>
      </w:r>
      <w:r w:rsidRPr="0048726C">
        <w:rPr>
          <w:rFonts w:ascii="Times New Roman" w:hAnsi="Times New Roman" w:cs="Times New Roman"/>
          <w:i/>
          <w:sz w:val="24"/>
          <w:szCs w:val="24"/>
          <w:lang w:val="en-US"/>
        </w:rPr>
        <w:t>Arsacids and Sasanians.</w:t>
      </w:r>
      <w:proofErr w:type="gramEnd"/>
      <w:r w:rsidRPr="004872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Political Ideology in Post-Hellenistic and Late Antique Persia</w:t>
      </w:r>
      <w:r w:rsidRPr="0048726C">
        <w:rPr>
          <w:rFonts w:ascii="Times New Roman" w:hAnsi="Times New Roman" w:cs="Times New Roman"/>
          <w:sz w:val="24"/>
          <w:szCs w:val="24"/>
          <w:lang w:val="en-US"/>
        </w:rPr>
        <w:t xml:space="preserve">, Cambridge, 2011, dans </w:t>
      </w:r>
      <w:r w:rsidRPr="0048726C">
        <w:rPr>
          <w:rFonts w:ascii="Times New Roman" w:hAnsi="Times New Roman" w:cs="Times New Roman"/>
          <w:i/>
          <w:sz w:val="24"/>
          <w:szCs w:val="24"/>
          <w:lang w:val="en-US"/>
        </w:rPr>
        <w:t>Topoï</w:t>
      </w:r>
      <w:r w:rsidRPr="0048726C">
        <w:rPr>
          <w:rFonts w:ascii="Times New Roman" w:hAnsi="Times New Roman" w:cs="Times New Roman"/>
          <w:sz w:val="24"/>
          <w:szCs w:val="24"/>
          <w:lang w:val="en-US"/>
        </w:rPr>
        <w:t xml:space="preserve"> 18, 2013, p. </w:t>
      </w:r>
      <w:r w:rsidRPr="0048726C">
        <w:rPr>
          <w:rFonts w:ascii="Times New Roman" w:hAnsi="Times New Roman" w:cs="Times New Roman"/>
          <w:sz w:val="24"/>
          <w:szCs w:val="24"/>
          <w:lang w:val="de-DE"/>
        </w:rPr>
        <w:t>659-667</w:t>
      </w:r>
      <w:r w:rsidRPr="004872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8726C" w:rsidRDefault="0048726C" w:rsidP="004872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8726C">
        <w:rPr>
          <w:rFonts w:ascii="Times New Roman" w:hAnsi="Times New Roman" w:cs="Times New Roman"/>
          <w:sz w:val="24"/>
          <w:szCs w:val="24"/>
          <w:lang w:val="en-US"/>
        </w:rPr>
        <w:t>-Thomas A. Schmitz and Nicolas Wiater (éd.),</w:t>
      </w:r>
      <w:r w:rsidRPr="004872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Struggle for Identity. Greeks and their Past in the First Century BCE</w:t>
      </w:r>
      <w:r w:rsidRPr="0048726C">
        <w:rPr>
          <w:rFonts w:ascii="Times New Roman" w:hAnsi="Times New Roman" w:cs="Times New Roman"/>
          <w:sz w:val="24"/>
          <w:szCs w:val="24"/>
          <w:lang w:val="en-US"/>
        </w:rPr>
        <w:t xml:space="preserve">, Stuttgart, 2011, dans la </w:t>
      </w:r>
      <w:r w:rsidRPr="004872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Revue de Philologie </w:t>
      </w:r>
      <w:r w:rsidRPr="0048726C">
        <w:rPr>
          <w:rFonts w:ascii="Times New Roman" w:hAnsi="Times New Roman" w:cs="Times New Roman"/>
          <w:sz w:val="24"/>
          <w:szCs w:val="24"/>
          <w:lang w:val="en-US"/>
        </w:rPr>
        <w:t>85/1.</w:t>
      </w:r>
    </w:p>
    <w:p w:rsidR="0048726C" w:rsidRPr="00C955AA" w:rsidRDefault="0048726C" w:rsidP="0048726C">
      <w:pPr>
        <w:jc w:val="both"/>
        <w:rPr>
          <w:b/>
          <w:smallCaps/>
          <w:lang w:val="en-US"/>
        </w:rPr>
      </w:pPr>
    </w:p>
    <w:p w:rsidR="0048726C" w:rsidRPr="00C955AA" w:rsidRDefault="0048726C" w:rsidP="0048726C">
      <w:pPr>
        <w:jc w:val="center"/>
        <w:rPr>
          <w:u w:val="single"/>
          <w:lang w:val="en-US"/>
        </w:rPr>
      </w:pPr>
    </w:p>
    <w:sectPr w:rsidR="0048726C" w:rsidRPr="00C955AA" w:rsidSect="00D05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08"/>
  <w:hyphenationZone w:val="425"/>
  <w:characterSpacingControl w:val="doNotCompress"/>
  <w:compat/>
  <w:rsids>
    <w:rsidRoot w:val="0048726C"/>
    <w:rsid w:val="0048726C"/>
    <w:rsid w:val="007A4B1F"/>
    <w:rsid w:val="00B82D7B"/>
    <w:rsid w:val="00C955AA"/>
    <w:rsid w:val="00D0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C8"/>
  </w:style>
  <w:style w:type="paragraph" w:styleId="Titre1">
    <w:name w:val="heading 1"/>
    <w:basedOn w:val="Normal"/>
    <w:next w:val="Normal"/>
    <w:link w:val="Titre1Car"/>
    <w:qFormat/>
    <w:rsid w:val="004872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8726C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Paragraphedeliste">
    <w:name w:val="List Paragraph"/>
    <w:basedOn w:val="Normal"/>
    <w:uiPriority w:val="34"/>
    <w:qFormat/>
    <w:rsid w:val="004872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Lienhypertexte">
    <w:name w:val="Hyperlink"/>
    <w:basedOn w:val="Policepardfaut"/>
    <w:uiPriority w:val="99"/>
    <w:unhideWhenUsed/>
    <w:rsid w:val="004872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viedesidees.fr/Une-petite-histoire-pour-de-grands.html" TargetMode="External"/><Relationship Id="rId4" Type="http://schemas.openxmlformats.org/officeDocument/2006/relationships/hyperlink" Target="file:///K:\charlotte%20travail\classeur\IUF%202014-2015\%20de%20migr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742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2</cp:revision>
  <dcterms:created xsi:type="dcterms:W3CDTF">2014-11-06T14:56:00Z</dcterms:created>
  <dcterms:modified xsi:type="dcterms:W3CDTF">2014-11-06T15:31:00Z</dcterms:modified>
</cp:coreProperties>
</file>